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AE0" w:rsidRPr="000B7E0D" w:rsidRDefault="0091508A" w:rsidP="008F4286">
      <w:pPr>
        <w:spacing w:before="120" w:after="120"/>
        <w:jc w:val="center"/>
        <w:rPr>
          <w:rFonts w:cs="Times New Roman"/>
          <w:b/>
          <w:sz w:val="32"/>
          <w:szCs w:val="24"/>
        </w:rPr>
      </w:pPr>
      <w:r w:rsidRPr="000B7E0D">
        <w:rPr>
          <w:rFonts w:cs="Times New Roman"/>
          <w:b/>
          <w:sz w:val="32"/>
          <w:szCs w:val="24"/>
        </w:rPr>
        <w:t xml:space="preserve">Modelo de Documento de </w:t>
      </w:r>
      <w:r w:rsidR="00F00960" w:rsidRPr="000B7E0D">
        <w:rPr>
          <w:rFonts w:cs="Times New Roman"/>
          <w:b/>
          <w:sz w:val="32"/>
          <w:szCs w:val="24"/>
        </w:rPr>
        <w:t>Cooperación</w:t>
      </w:r>
      <w:r w:rsidRPr="000B7E0D">
        <w:rPr>
          <w:rFonts w:cs="Times New Roman"/>
          <w:b/>
          <w:sz w:val="32"/>
          <w:szCs w:val="24"/>
        </w:rPr>
        <w:t xml:space="preserve"> T</w:t>
      </w:r>
      <w:r w:rsidR="00F00960" w:rsidRPr="000B7E0D">
        <w:rPr>
          <w:rFonts w:cs="Times New Roman"/>
          <w:b/>
          <w:sz w:val="32"/>
          <w:szCs w:val="24"/>
        </w:rPr>
        <w:t>é</w:t>
      </w:r>
      <w:r w:rsidRPr="000B7E0D">
        <w:rPr>
          <w:rFonts w:cs="Times New Roman"/>
          <w:b/>
          <w:sz w:val="32"/>
          <w:szCs w:val="24"/>
        </w:rPr>
        <w:t xml:space="preserve">cnica </w:t>
      </w:r>
    </w:p>
    <w:p w:rsidR="007E1EAE" w:rsidRPr="000B7E0D" w:rsidRDefault="007E1EAE" w:rsidP="00405213">
      <w:pPr>
        <w:pStyle w:val="Heading1"/>
        <w:numPr>
          <w:ilvl w:val="0"/>
          <w:numId w:val="3"/>
        </w:numPr>
        <w:rPr>
          <w:rFonts w:ascii="Times New Roman" w:hAnsi="Times New Roman" w:cs="Times New Roman"/>
        </w:rPr>
      </w:pPr>
      <w:r w:rsidRPr="000B7E0D">
        <w:rPr>
          <w:rFonts w:ascii="Times New Roman" w:hAnsi="Times New Roman" w:cs="Times New Roman"/>
        </w:rPr>
        <w:t>Información Básica</w:t>
      </w:r>
    </w:p>
    <w:tbl>
      <w:tblPr>
        <w:tblStyle w:val="TableGrid"/>
        <w:tblW w:w="8568" w:type="dxa"/>
        <w:tblInd w:w="3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40"/>
        <w:gridCol w:w="4428"/>
      </w:tblGrid>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País/Región(*): </w:t>
            </w:r>
          </w:p>
        </w:tc>
        <w:tc>
          <w:tcPr>
            <w:tcW w:w="4428" w:type="dxa"/>
          </w:tcPr>
          <w:p w:rsidR="009F33DC" w:rsidRPr="009F33DC" w:rsidRDefault="009F33DC" w:rsidP="009F33DC">
            <w:pPr>
              <w:rPr>
                <w:rFonts w:cs="Times New Roman"/>
                <w:sz w:val="22"/>
              </w:rPr>
            </w:pPr>
            <w:r w:rsidRPr="009F33DC">
              <w:rPr>
                <w:rFonts w:eastAsia="Times" w:cs="Times New Roman"/>
                <w:sz w:val="22"/>
              </w:rPr>
              <w:t>Colombia</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Nombre de la CT:</w:t>
            </w:r>
          </w:p>
        </w:tc>
        <w:tc>
          <w:tcPr>
            <w:tcW w:w="4428" w:type="dxa"/>
          </w:tcPr>
          <w:p w:rsidR="009F33DC" w:rsidRPr="009F33DC" w:rsidRDefault="009F33DC" w:rsidP="009F33DC">
            <w:pPr>
              <w:rPr>
                <w:rFonts w:cs="Times New Roman"/>
                <w:sz w:val="22"/>
                <w:highlight w:val="lightGray"/>
              </w:rPr>
            </w:pPr>
            <w:r w:rsidRPr="009F33DC">
              <w:rPr>
                <w:rFonts w:eastAsia="Times" w:cs="Times New Roman"/>
                <w:sz w:val="22"/>
              </w:rPr>
              <w:t xml:space="preserve">Más arroz con menos emisiones y menor consumo de agua </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Número de CT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Jefe de Equipo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Tipo de Cooperación Técnica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Fecha de Autorización de CT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Beneficiarios (países o entidades que participarán en la cooperación técnica):</w:t>
            </w:r>
          </w:p>
        </w:tc>
        <w:tc>
          <w:tcPr>
            <w:tcW w:w="4428" w:type="dxa"/>
          </w:tcPr>
          <w:p w:rsidR="009F33DC" w:rsidRPr="009F33DC" w:rsidRDefault="009F33DC" w:rsidP="009F33DC">
            <w:pPr>
              <w:rPr>
                <w:rFonts w:eastAsia="Times" w:cs="Times New Roman"/>
                <w:sz w:val="22"/>
              </w:rPr>
            </w:pPr>
            <w:r w:rsidRPr="009F33DC">
              <w:rPr>
                <w:rFonts w:eastAsia="Times" w:cs="Times New Roman"/>
                <w:sz w:val="22"/>
              </w:rPr>
              <w:t>[Colombia (Federación Nacional de Arroceros FEDEARROZ – Fondo Nacional del Arroz)]</w:t>
            </w:r>
          </w:p>
          <w:p w:rsidR="009F33DC" w:rsidRPr="009F33DC" w:rsidRDefault="009F33DC" w:rsidP="009F33DC">
            <w:pPr>
              <w:rPr>
                <w:rFonts w:eastAsia="Times" w:cs="Times New Roman"/>
                <w:sz w:val="22"/>
              </w:rPr>
            </w:pPr>
            <w:r w:rsidRPr="009F33DC">
              <w:rPr>
                <w:rFonts w:eastAsia="Times" w:cs="Times New Roman"/>
                <w:sz w:val="22"/>
              </w:rPr>
              <w:t xml:space="preserve">[Perú (Universidad Agraria la Molina], [Chile (Instituto de Investigaciones Agropecuarias INIA)] </w:t>
            </w:r>
          </w:p>
          <w:p w:rsidR="009F33DC" w:rsidRPr="009F33DC" w:rsidRDefault="009F33DC" w:rsidP="009F33DC">
            <w:pPr>
              <w:rPr>
                <w:rFonts w:cs="Times New Roman"/>
                <w:sz w:val="22"/>
                <w:highlight w:val="lightGray"/>
              </w:rPr>
            </w:pPr>
            <w:r w:rsidRPr="009F33DC">
              <w:rPr>
                <w:rFonts w:eastAsia="Times" w:cs="Times New Roman"/>
                <w:sz w:val="22"/>
              </w:rPr>
              <w:t xml:space="preserve">Un detalle de las instituciones se presenta en el Anexo I. </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Agencia Ejecutora y nombre de contacto</w:t>
            </w:r>
          </w:p>
        </w:tc>
        <w:tc>
          <w:tcPr>
            <w:tcW w:w="4428" w:type="dxa"/>
          </w:tcPr>
          <w:p w:rsidR="009F33DC" w:rsidRPr="009F33DC" w:rsidRDefault="009F33DC" w:rsidP="009F33DC">
            <w:pPr>
              <w:rPr>
                <w:rFonts w:eastAsia="Times" w:cs="Times New Roman"/>
                <w:sz w:val="22"/>
              </w:rPr>
            </w:pPr>
            <w:r w:rsidRPr="009F33DC">
              <w:rPr>
                <w:rFonts w:eastAsia="Times" w:cs="Times New Roman"/>
                <w:sz w:val="22"/>
              </w:rPr>
              <w:t>[FEDEARROZ – FNA, Myriam Patricia Guzmán G.]</w:t>
            </w:r>
          </w:p>
          <w:p w:rsidR="009F33DC" w:rsidRPr="009F33DC" w:rsidRDefault="009F33DC" w:rsidP="009F33DC">
            <w:pPr>
              <w:rPr>
                <w:rFonts w:cs="Times New Roman"/>
                <w:sz w:val="22"/>
                <w:highlight w:val="lightGray"/>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Donantes que proveerán financiamiento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Financiamiento Solicitado (en US$):</w:t>
            </w:r>
          </w:p>
        </w:tc>
        <w:tc>
          <w:tcPr>
            <w:tcW w:w="4428" w:type="dxa"/>
          </w:tcPr>
          <w:p w:rsidR="009F33DC" w:rsidRPr="009F33DC" w:rsidRDefault="009F33DC" w:rsidP="009F33DC">
            <w:pPr>
              <w:rPr>
                <w:rFonts w:eastAsia="Times" w:cs="Times New Roman"/>
                <w:color w:val="000000"/>
                <w:sz w:val="22"/>
                <w:highlight w:val="lightGray"/>
              </w:rPr>
            </w:pPr>
            <w:r w:rsidRPr="009F33DC">
              <w:rPr>
                <w:rFonts w:eastAsia="Times" w:cs="Times New Roman"/>
                <w:sz w:val="22"/>
              </w:rPr>
              <w:t>[300000]</w:t>
            </w:r>
          </w:p>
          <w:p w:rsidR="009F33DC" w:rsidRPr="009F33DC" w:rsidRDefault="009F33DC" w:rsidP="009F33DC">
            <w:pPr>
              <w:rPr>
                <w:rFonts w:cs="Times New Roman"/>
                <w:sz w:val="22"/>
                <w:highlight w:val="lightGray"/>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Contrapartida Local (en US$):</w:t>
            </w:r>
          </w:p>
        </w:tc>
        <w:tc>
          <w:tcPr>
            <w:tcW w:w="4428" w:type="dxa"/>
          </w:tcPr>
          <w:p w:rsidR="009F33DC" w:rsidRPr="009F33DC" w:rsidRDefault="009F33DC" w:rsidP="009F33DC">
            <w:pPr>
              <w:rPr>
                <w:rFonts w:eastAsia="Times" w:cs="Times New Roman"/>
                <w:sz w:val="22"/>
              </w:rPr>
            </w:pPr>
            <w:r w:rsidRPr="009F33DC">
              <w:rPr>
                <w:rFonts w:eastAsia="Times" w:cs="Times New Roman"/>
                <w:sz w:val="22"/>
              </w:rPr>
              <w:t>[500000, En especie, dedicación de  profesionales al proyecto, instalaciones e infraestructura]</w:t>
            </w:r>
          </w:p>
          <w:p w:rsidR="009F33DC" w:rsidRPr="009F33DC" w:rsidRDefault="009F33DC" w:rsidP="009F33DC">
            <w:pPr>
              <w:rPr>
                <w:rFonts w:cs="Times New Roman"/>
                <w:sz w:val="22"/>
                <w:highlight w:val="lightGray"/>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Financiamiento Total (en US$)</w:t>
            </w:r>
          </w:p>
        </w:tc>
        <w:tc>
          <w:tcPr>
            <w:tcW w:w="4428" w:type="dxa"/>
          </w:tcPr>
          <w:p w:rsidR="009F33DC" w:rsidRPr="009F33DC" w:rsidRDefault="009F33DC" w:rsidP="009F33DC">
            <w:pPr>
              <w:rPr>
                <w:rFonts w:cs="Times New Roman"/>
                <w:sz w:val="22"/>
                <w:highlight w:val="lightGray"/>
              </w:rPr>
            </w:pPr>
            <w:r w:rsidRPr="009F33DC">
              <w:rPr>
                <w:rFonts w:eastAsia="Times" w:cs="Times New Roman"/>
                <w:sz w:val="22"/>
              </w:rPr>
              <w:t>[800000]</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Período de Ejecución (meses) (*):</w:t>
            </w:r>
          </w:p>
        </w:tc>
        <w:tc>
          <w:tcPr>
            <w:tcW w:w="4428" w:type="dxa"/>
          </w:tcPr>
          <w:p w:rsidR="009F33DC" w:rsidRPr="009F33DC" w:rsidRDefault="009F33DC" w:rsidP="009F33DC">
            <w:pPr>
              <w:rPr>
                <w:rFonts w:cs="Times New Roman"/>
                <w:sz w:val="22"/>
              </w:rPr>
            </w:pPr>
            <w:r w:rsidRPr="009F33DC">
              <w:rPr>
                <w:rFonts w:eastAsia="Times" w:cs="Times New Roman"/>
                <w:sz w:val="22"/>
              </w:rPr>
              <w:t>42 meses</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Período de Desembolso (meses) (*):</w:t>
            </w:r>
          </w:p>
        </w:tc>
        <w:tc>
          <w:tcPr>
            <w:tcW w:w="4428" w:type="dxa"/>
          </w:tcPr>
          <w:p w:rsidR="009F33DC" w:rsidRPr="009F33DC" w:rsidRDefault="009F33DC" w:rsidP="009F33DC">
            <w:pPr>
              <w:rPr>
                <w:rFonts w:cs="Times New Roman"/>
                <w:sz w:val="22"/>
              </w:rPr>
            </w:pPr>
            <w:r w:rsidRPr="009F33DC">
              <w:rPr>
                <w:rFonts w:eastAsia="Times" w:cs="Times New Roman"/>
                <w:sz w:val="22"/>
              </w:rPr>
              <w:t>48 meses</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Fecha de Inicio requerido (*):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Tipos de consultores (*): </w:t>
            </w:r>
          </w:p>
        </w:tc>
        <w:tc>
          <w:tcPr>
            <w:tcW w:w="4428" w:type="dxa"/>
          </w:tcPr>
          <w:p w:rsidR="009F33DC" w:rsidRPr="009F33DC" w:rsidRDefault="009F33DC" w:rsidP="009F33DC">
            <w:pPr>
              <w:rPr>
                <w:rFonts w:cs="Times New Roman"/>
                <w:sz w:val="22"/>
              </w:rPr>
            </w:pPr>
            <w:r w:rsidRPr="009F33DC">
              <w:rPr>
                <w:rFonts w:eastAsia="Times" w:cs="Times New Roman"/>
                <w:sz w:val="22"/>
              </w:rPr>
              <w:t>Firmas o consultores individuales</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Unidad de Preparación: </w:t>
            </w:r>
          </w:p>
        </w:tc>
        <w:tc>
          <w:tcPr>
            <w:tcW w:w="4428" w:type="dxa"/>
          </w:tcPr>
          <w:p w:rsidR="009F33DC" w:rsidRPr="009F33DC" w:rsidRDefault="009F33DC" w:rsidP="009F33DC">
            <w:pPr>
              <w:rPr>
                <w:rFonts w:cs="Times New Roman"/>
                <w:sz w:val="22"/>
              </w:rPr>
            </w:pPr>
            <w:r w:rsidRPr="009F33DC">
              <w:rPr>
                <w:rFonts w:eastAsia="Times" w:cs="Times New Roman"/>
                <w:sz w:val="22"/>
              </w:rPr>
              <w:t>FONTAGRO</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Unidad Responsable de Desembolso (*): </w:t>
            </w:r>
          </w:p>
        </w:tc>
        <w:tc>
          <w:tcPr>
            <w:tcW w:w="4428" w:type="dxa"/>
          </w:tcPr>
          <w:p w:rsidR="009F33DC" w:rsidRPr="009F33DC" w:rsidRDefault="009F33DC" w:rsidP="009F33DC">
            <w:pPr>
              <w:rPr>
                <w:rFonts w:cs="Times New Roman"/>
                <w:sz w:val="22"/>
              </w:rPr>
            </w:pPr>
            <w:r w:rsidRPr="009F33DC">
              <w:rPr>
                <w:rFonts w:eastAsia="Times" w:cs="Times New Roman"/>
                <w:sz w:val="22"/>
              </w:rPr>
              <w:t>ORP/GCM</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CT incluída en la Estrategia de País (s/n) (*): </w:t>
            </w:r>
          </w:p>
        </w:tc>
        <w:tc>
          <w:tcPr>
            <w:tcW w:w="4428" w:type="dxa"/>
          </w:tcPr>
          <w:p w:rsidR="009F33DC" w:rsidRPr="009F33DC" w:rsidRDefault="009F33DC" w:rsidP="009F33DC">
            <w:pPr>
              <w:rPr>
                <w:rFonts w:cs="Times New Roman"/>
                <w:sz w:val="22"/>
              </w:rPr>
            </w:pPr>
            <w:r w:rsidRPr="009F33DC">
              <w:rPr>
                <w:rFonts w:eastAsia="Times" w:cs="Times New Roman"/>
                <w:sz w:val="22"/>
              </w:rPr>
              <w:t>N/A</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CT incluída en CPD (s/n) (*):</w:t>
            </w:r>
          </w:p>
        </w:tc>
        <w:tc>
          <w:tcPr>
            <w:tcW w:w="4428" w:type="dxa"/>
          </w:tcPr>
          <w:p w:rsidR="009F33DC" w:rsidRPr="009F33DC" w:rsidRDefault="009F33DC" w:rsidP="009F33DC">
            <w:pPr>
              <w:rPr>
                <w:rFonts w:cs="Times New Roman"/>
                <w:sz w:val="22"/>
              </w:rPr>
            </w:pPr>
            <w:r w:rsidRPr="009F33DC">
              <w:rPr>
                <w:rFonts w:eastAsia="Times" w:cs="Times New Roman"/>
                <w:sz w:val="22"/>
              </w:rPr>
              <w:t>N/A</w:t>
            </w: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 xml:space="preserve">Sector Prioritario GCI-9 (*): </w:t>
            </w:r>
          </w:p>
        </w:tc>
        <w:tc>
          <w:tcPr>
            <w:tcW w:w="4428" w:type="dxa"/>
          </w:tcPr>
          <w:p w:rsidR="009F33DC" w:rsidRPr="009F33DC" w:rsidRDefault="009F33DC" w:rsidP="009F33DC">
            <w:pPr>
              <w:rPr>
                <w:rFonts w:cs="Times New Roman"/>
                <w:sz w:val="22"/>
              </w:rPr>
            </w:pPr>
          </w:p>
        </w:tc>
      </w:tr>
      <w:tr w:rsidR="009F33DC" w:rsidRPr="009F33DC" w:rsidTr="009F33DC">
        <w:tc>
          <w:tcPr>
            <w:tcW w:w="4140" w:type="dxa"/>
          </w:tcPr>
          <w:p w:rsidR="009F33DC" w:rsidRPr="009F33DC" w:rsidRDefault="009F33DC" w:rsidP="009F33DC">
            <w:pPr>
              <w:rPr>
                <w:rFonts w:cs="Times New Roman"/>
                <w:sz w:val="22"/>
              </w:rPr>
            </w:pPr>
            <w:r w:rsidRPr="009F33DC">
              <w:rPr>
                <w:rFonts w:cs="Times New Roman"/>
                <w:sz w:val="22"/>
              </w:rPr>
              <w:t>Otros comentarios (*):</w:t>
            </w:r>
          </w:p>
        </w:tc>
        <w:tc>
          <w:tcPr>
            <w:tcW w:w="4428" w:type="dxa"/>
          </w:tcPr>
          <w:p w:rsidR="009F33DC" w:rsidRPr="009F33DC" w:rsidRDefault="009F33DC" w:rsidP="009F33DC">
            <w:pPr>
              <w:rPr>
                <w:rFonts w:cs="Times New Roman"/>
                <w:sz w:val="22"/>
              </w:rPr>
            </w:pPr>
          </w:p>
        </w:tc>
      </w:tr>
    </w:tbl>
    <w:p w:rsidR="008F61B4" w:rsidRPr="000B7E0D" w:rsidRDefault="008F61B4">
      <w:pPr>
        <w:spacing w:after="200" w:line="276" w:lineRule="auto"/>
        <w:jc w:val="left"/>
        <w:rPr>
          <w:rFonts w:cs="Times New Roman"/>
        </w:rPr>
      </w:pPr>
      <w:r w:rsidRPr="000B7E0D">
        <w:rPr>
          <w:rFonts w:cs="Times New Roman"/>
        </w:rPr>
        <w:br w:type="page"/>
      </w:r>
    </w:p>
    <w:p w:rsidR="0032311B" w:rsidRDefault="00F00960" w:rsidP="00405213">
      <w:pPr>
        <w:pStyle w:val="Heading1"/>
        <w:numPr>
          <w:ilvl w:val="0"/>
          <w:numId w:val="3"/>
        </w:numPr>
        <w:rPr>
          <w:rFonts w:ascii="Times New Roman" w:hAnsi="Times New Roman" w:cs="Times New Roman"/>
        </w:rPr>
      </w:pPr>
      <w:r w:rsidRPr="000B7E0D">
        <w:rPr>
          <w:rFonts w:ascii="Times New Roman" w:hAnsi="Times New Roman" w:cs="Times New Roman"/>
        </w:rPr>
        <w:lastRenderedPageBreak/>
        <w:t>Descripción</w:t>
      </w:r>
      <w:r w:rsidR="005D330B" w:rsidRPr="000B7E0D">
        <w:rPr>
          <w:rFonts w:ascii="Times New Roman" w:hAnsi="Times New Roman" w:cs="Times New Roman"/>
        </w:rPr>
        <w:t xml:space="preserve"> </w:t>
      </w:r>
      <w:r w:rsidR="00E33333" w:rsidRPr="000B7E0D">
        <w:rPr>
          <w:rFonts w:ascii="Times New Roman" w:hAnsi="Times New Roman" w:cs="Times New Roman"/>
        </w:rPr>
        <w:t>de</w:t>
      </w:r>
      <w:r w:rsidR="00A9456C" w:rsidRPr="000B7E0D">
        <w:rPr>
          <w:rFonts w:ascii="Times New Roman" w:hAnsi="Times New Roman" w:cs="Times New Roman"/>
        </w:rPr>
        <w:t xml:space="preserve"> la Cooperación T</w:t>
      </w:r>
      <w:r w:rsidR="00EF7FCA" w:rsidRPr="000B7E0D">
        <w:rPr>
          <w:rFonts w:ascii="Times New Roman" w:hAnsi="Times New Roman" w:cs="Times New Roman"/>
        </w:rPr>
        <w:t>écnica</w:t>
      </w:r>
      <w:r w:rsidR="005D330B" w:rsidRPr="000B7E0D">
        <w:rPr>
          <w:rFonts w:ascii="Times New Roman" w:hAnsi="Times New Roman" w:cs="Times New Roman"/>
        </w:rPr>
        <w:t xml:space="preserve"> </w:t>
      </w:r>
      <w:r w:rsidR="00A05B15" w:rsidRPr="000B7E0D">
        <w:rPr>
          <w:rFonts w:ascii="Times New Roman" w:hAnsi="Times New Roman" w:cs="Times New Roman"/>
        </w:rPr>
        <w:t>(CT)</w:t>
      </w:r>
    </w:p>
    <w:p w:rsidR="00E815BF" w:rsidRPr="00E815BF" w:rsidRDefault="00E815BF" w:rsidP="00E815BF"/>
    <w:p w:rsidR="007C57E8" w:rsidRPr="00E815BF" w:rsidRDefault="007C57E8" w:rsidP="00405213">
      <w:pPr>
        <w:pStyle w:val="ListParagraph"/>
        <w:numPr>
          <w:ilvl w:val="1"/>
          <w:numId w:val="4"/>
        </w:numPr>
        <w:rPr>
          <w:rFonts w:ascii="Times" w:eastAsia="Times" w:hAnsi="Times" w:cs="Times"/>
          <w:color w:val="000000"/>
          <w:sz w:val="22"/>
          <w:highlight w:val="white"/>
        </w:rPr>
      </w:pPr>
      <w:r w:rsidRPr="00E815BF">
        <w:rPr>
          <w:rFonts w:ascii="Times" w:eastAsia="Times" w:hAnsi="Times" w:cs="Times"/>
          <w:color w:val="000000"/>
          <w:sz w:val="22"/>
          <w:highlight w:val="white"/>
        </w:rPr>
        <w:t>El arroz es uno de los cultivos más importantes para la alimentación y la agricultura familiar en América Latina. Es sabido también que los cultivos de arroz de riego aportan un porcentaje importante de los gases efecto invernadero que provienen de la agricultura, siendo necesario buscar nuevas formas de producción que aseguren la producción y reduzcan dichas emisiones.</w:t>
      </w:r>
    </w:p>
    <w:p w:rsidR="002849D7" w:rsidRDefault="002849D7" w:rsidP="002849D7">
      <w:pPr>
        <w:rPr>
          <w:rFonts w:ascii="Times" w:eastAsia="Times" w:hAnsi="Times" w:cs="Times"/>
          <w:color w:val="000000"/>
          <w:sz w:val="22"/>
          <w:highlight w:val="white"/>
        </w:rPr>
      </w:pPr>
    </w:p>
    <w:p w:rsidR="007C57E8" w:rsidRDefault="007C57E8" w:rsidP="00405213">
      <w:pPr>
        <w:pStyle w:val="ListParagraph"/>
        <w:numPr>
          <w:ilvl w:val="1"/>
          <w:numId w:val="4"/>
        </w:numPr>
        <w:rPr>
          <w:rFonts w:ascii="Times" w:eastAsia="Times" w:hAnsi="Times" w:cs="Times"/>
          <w:color w:val="000000"/>
          <w:sz w:val="22"/>
          <w:highlight w:val="white"/>
        </w:rPr>
      </w:pPr>
      <w:r w:rsidRPr="00E815BF">
        <w:rPr>
          <w:rFonts w:ascii="Times" w:eastAsia="Times" w:hAnsi="Times" w:cs="Times"/>
          <w:color w:val="000000"/>
          <w:sz w:val="22"/>
          <w:highlight w:val="white"/>
        </w:rPr>
        <w:t xml:space="preserve">La investigación en distintas partes del mundo ha identificado el manejo alternativo del riego con alternancia de inundación y secado como una técnica eficaz para lograr ambos objetivos, aunque su adopción en gran escala requiere ajustes a nivel de cada región o país y un trabajo cercano con los productores para su implementación adecuada. </w:t>
      </w:r>
    </w:p>
    <w:p w:rsidR="00E815BF" w:rsidRPr="00E815BF" w:rsidRDefault="00E815BF" w:rsidP="00E815BF">
      <w:pPr>
        <w:pStyle w:val="ListParagraph"/>
        <w:numPr>
          <w:ilvl w:val="0"/>
          <w:numId w:val="0"/>
        </w:numPr>
        <w:ind w:left="1008"/>
        <w:rPr>
          <w:rFonts w:ascii="Times" w:eastAsia="Times" w:hAnsi="Times" w:cs="Times"/>
          <w:color w:val="000000"/>
          <w:sz w:val="22"/>
          <w:highlight w:val="white"/>
        </w:rPr>
      </w:pPr>
    </w:p>
    <w:p w:rsidR="00B05D96" w:rsidRPr="00E815BF" w:rsidRDefault="007C57E8" w:rsidP="00405213">
      <w:pPr>
        <w:pStyle w:val="ListParagraph"/>
        <w:numPr>
          <w:ilvl w:val="1"/>
          <w:numId w:val="4"/>
        </w:numPr>
        <w:rPr>
          <w:rFonts w:ascii="Times" w:eastAsia="Times" w:hAnsi="Times" w:cs="Times"/>
          <w:color w:val="000000"/>
          <w:sz w:val="22"/>
          <w:highlight w:val="white"/>
        </w:rPr>
      </w:pPr>
      <w:r w:rsidRPr="00E815BF">
        <w:rPr>
          <w:rFonts w:ascii="Times" w:eastAsia="Times" w:hAnsi="Times" w:cs="Times"/>
          <w:color w:val="000000"/>
          <w:sz w:val="22"/>
          <w:highlight w:val="white"/>
        </w:rPr>
        <w:t>La Federación Nacional de Arroceros de Colombia, la Universidad de La Molina en Perú y el INIA Chile son instituciones dedicadas a la investigación en países en donde el cultivo del arroz es fundamental para un gran número de productores familiares.</w:t>
      </w:r>
    </w:p>
    <w:p w:rsidR="007C57E8" w:rsidRPr="00B05D96" w:rsidRDefault="007C57E8" w:rsidP="00B05D96">
      <w:pPr>
        <w:pStyle w:val="ListParagraph"/>
        <w:numPr>
          <w:ilvl w:val="0"/>
          <w:numId w:val="0"/>
        </w:numPr>
        <w:ind w:left="1080"/>
        <w:rPr>
          <w:rFonts w:ascii="Times" w:eastAsia="Times" w:hAnsi="Times" w:cs="Times"/>
          <w:color w:val="000000"/>
          <w:sz w:val="22"/>
          <w:highlight w:val="white"/>
        </w:rPr>
      </w:pPr>
      <w:r w:rsidRPr="00B05D96">
        <w:rPr>
          <w:rFonts w:ascii="Times" w:eastAsia="Times" w:hAnsi="Times" w:cs="Times"/>
          <w:color w:val="000000"/>
          <w:sz w:val="22"/>
          <w:highlight w:val="white"/>
        </w:rPr>
        <w:t xml:space="preserve"> </w:t>
      </w:r>
    </w:p>
    <w:p w:rsidR="007C57E8" w:rsidRPr="00E815BF" w:rsidRDefault="007C57E8" w:rsidP="00405213">
      <w:pPr>
        <w:pStyle w:val="ListParagraph"/>
        <w:numPr>
          <w:ilvl w:val="1"/>
          <w:numId w:val="4"/>
        </w:numPr>
        <w:rPr>
          <w:rFonts w:ascii="Times" w:eastAsia="Times" w:hAnsi="Times" w:cs="Times"/>
          <w:color w:val="000000"/>
          <w:sz w:val="22"/>
          <w:highlight w:val="white"/>
        </w:rPr>
      </w:pPr>
      <w:r w:rsidRPr="00E815BF">
        <w:rPr>
          <w:rFonts w:ascii="Times" w:eastAsia="Times" w:hAnsi="Times" w:cs="Times"/>
          <w:color w:val="000000"/>
          <w:sz w:val="22"/>
          <w:highlight w:val="white"/>
        </w:rPr>
        <w:t>Por lo anterior, y con el objetivo de promover el uso eficiente de los recursos naturales a la vez que mantener una producción sostenible, estas instituciones lideradas por FEDEARROZ, presentan este proyecto conjunto.  El mismo propone la instalación de un experimento en campo de productores en cada uno de los países, en donde se hará comparación de dos intensidades de la técnica de riego intermitente o AWD por sus siglas en inglés (Alternate Wetting and Drying), con el manejo tradicional de inundación continua. Dichos experimentos se repetirán en los dos primeros años del proyecto y en los mismos se medirán emisiones de gases, consumo de agua, costos, rendimiento y calidad del arroz producido. Del resultado de estos dos años de ensayos surgirá una propuesta tecnológica que será validada en el tercer año del proyecto, en por lo menos dos campos de productores en cada país en áreas comerciales. Estos sitios servirán para realizar  distintos eventos de transferencia de tecnología a productores para lograr un cambio de actitud hacia el uso eficiente del recurso hídrico y a la vez destacar su importancia en la reducción de las emisiones de gases de efecto de invernadero (GEI).</w:t>
      </w:r>
    </w:p>
    <w:p w:rsidR="00B05D96" w:rsidRPr="00B05D96" w:rsidRDefault="00B05D96" w:rsidP="00B05D96">
      <w:pPr>
        <w:pStyle w:val="ListParagraph"/>
        <w:numPr>
          <w:ilvl w:val="0"/>
          <w:numId w:val="0"/>
        </w:numPr>
        <w:ind w:left="1080"/>
        <w:rPr>
          <w:rFonts w:ascii="Times" w:eastAsia="Times" w:hAnsi="Times" w:cs="Times"/>
          <w:color w:val="000000"/>
          <w:sz w:val="22"/>
          <w:highlight w:val="white"/>
        </w:rPr>
      </w:pPr>
    </w:p>
    <w:p w:rsidR="007C57E8" w:rsidRPr="00E815BF" w:rsidRDefault="007C57E8" w:rsidP="00405213">
      <w:pPr>
        <w:pStyle w:val="ListParagraph"/>
        <w:numPr>
          <w:ilvl w:val="1"/>
          <w:numId w:val="4"/>
        </w:numPr>
        <w:rPr>
          <w:rFonts w:ascii="Times" w:eastAsia="Times" w:hAnsi="Times" w:cs="Times"/>
          <w:color w:val="000000"/>
          <w:sz w:val="22"/>
          <w:highlight w:val="white"/>
        </w:rPr>
      </w:pPr>
      <w:r w:rsidRPr="00E815BF">
        <w:rPr>
          <w:rFonts w:ascii="Times" w:eastAsia="Times" w:hAnsi="Times" w:cs="Times"/>
          <w:color w:val="000000"/>
          <w:sz w:val="22"/>
          <w:highlight w:val="white"/>
        </w:rPr>
        <w:t xml:space="preserve">La participación del </w:t>
      </w:r>
      <w:r w:rsidRPr="00E815BF">
        <w:rPr>
          <w:rFonts w:ascii="Times" w:eastAsia="Times" w:hAnsi="Times" w:cs="Times"/>
          <w:color w:val="000000"/>
          <w:sz w:val="22"/>
        </w:rPr>
        <w:t>Centro Internacional de Agricultura Tropical (</w:t>
      </w:r>
      <w:r w:rsidRPr="00E815BF">
        <w:rPr>
          <w:rFonts w:ascii="Times" w:eastAsia="Times" w:hAnsi="Times" w:cs="Times"/>
          <w:color w:val="000000"/>
          <w:sz w:val="22"/>
          <w:highlight w:val="white"/>
        </w:rPr>
        <w:t>CIAT), el</w:t>
      </w:r>
      <w:r w:rsidRPr="00E815BF">
        <w:rPr>
          <w:rFonts w:ascii="Times" w:eastAsia="Times" w:hAnsi="Times" w:cs="Times"/>
          <w:color w:val="000000"/>
          <w:sz w:val="22"/>
        </w:rPr>
        <w:t xml:space="preserve"> Fondo Latinoamericano para Arroz de Riego</w:t>
      </w:r>
      <w:r w:rsidRPr="00E815BF">
        <w:rPr>
          <w:rFonts w:ascii="Times" w:eastAsia="Times" w:hAnsi="Times" w:cs="Times"/>
          <w:color w:val="000000"/>
          <w:sz w:val="22"/>
          <w:highlight w:val="white"/>
        </w:rPr>
        <w:t xml:space="preserve"> (FLAR) y el Grupo Arroz de la </w:t>
      </w:r>
      <w:r w:rsidRPr="00E815BF">
        <w:rPr>
          <w:rFonts w:ascii="Times" w:eastAsia="Times" w:hAnsi="Times" w:cs="Times"/>
          <w:color w:val="000000"/>
          <w:sz w:val="22"/>
        </w:rPr>
        <w:t>Alianza Global de Investigación para los GEI de la Agricultura (</w:t>
      </w:r>
      <w:r w:rsidRPr="00E815BF">
        <w:rPr>
          <w:rFonts w:ascii="Times" w:eastAsia="Times" w:hAnsi="Times" w:cs="Times"/>
          <w:color w:val="000000"/>
          <w:sz w:val="22"/>
          <w:highlight w:val="white"/>
        </w:rPr>
        <w:t>GRA) como organismos asociados garantizará por una parte el uso de las últimas tecnologías y métodos para el desarrollo de propuestas así como el uso de las plataformas regionales e internacionales para la difusión y aprovechamiento de los resultados más allá que la de los tres países ejecutores.</w:t>
      </w:r>
    </w:p>
    <w:p w:rsidR="00EF7FCA" w:rsidRPr="000B7E0D" w:rsidRDefault="00EF7FCA" w:rsidP="00EF7FCA"/>
    <w:p w:rsidR="0095711B" w:rsidRDefault="00CE1556" w:rsidP="00405213">
      <w:pPr>
        <w:pStyle w:val="Heading1"/>
        <w:numPr>
          <w:ilvl w:val="0"/>
          <w:numId w:val="3"/>
        </w:numPr>
        <w:rPr>
          <w:rFonts w:ascii="Times New Roman" w:hAnsi="Times New Roman" w:cs="Times New Roman"/>
        </w:rPr>
      </w:pPr>
      <w:r w:rsidRPr="000B7E0D">
        <w:rPr>
          <w:rFonts w:ascii="Times New Roman" w:hAnsi="Times New Roman" w:cs="Times New Roman"/>
        </w:rPr>
        <w:t xml:space="preserve">Antecedentes, </w:t>
      </w:r>
      <w:r w:rsidR="00F00960" w:rsidRPr="000B7E0D">
        <w:rPr>
          <w:rFonts w:ascii="Times New Roman" w:hAnsi="Times New Roman" w:cs="Times New Roman"/>
        </w:rPr>
        <w:t xml:space="preserve">Justificación </w:t>
      </w:r>
      <w:r w:rsidRPr="000B7E0D">
        <w:rPr>
          <w:rFonts w:ascii="Times New Roman" w:hAnsi="Times New Roman" w:cs="Times New Roman"/>
        </w:rPr>
        <w:t xml:space="preserve">y Objetivos </w:t>
      </w:r>
      <w:r w:rsidR="00F00960" w:rsidRPr="000B7E0D">
        <w:rPr>
          <w:rFonts w:ascii="Times New Roman" w:hAnsi="Times New Roman" w:cs="Times New Roman"/>
        </w:rPr>
        <w:t>de la CT</w:t>
      </w:r>
    </w:p>
    <w:p w:rsidR="008F5F33" w:rsidRDefault="008F5F33" w:rsidP="008F5F33"/>
    <w:p w:rsidR="004C2C80" w:rsidRPr="0042277C" w:rsidRDefault="004C2C80" w:rsidP="00405213">
      <w:pPr>
        <w:pStyle w:val="ListParagraph"/>
        <w:numPr>
          <w:ilvl w:val="1"/>
          <w:numId w:val="5"/>
        </w:numPr>
        <w:rPr>
          <w:rFonts w:eastAsia="Times New Roman" w:cs="Times New Roman"/>
          <w:sz w:val="22"/>
          <w:lang w:val="es-CO" w:eastAsia="es-CO"/>
        </w:rPr>
      </w:pPr>
      <w:r w:rsidRPr="0042277C">
        <w:rPr>
          <w:rFonts w:eastAsia="Times New Roman" w:cs="Times New Roman"/>
          <w:color w:val="000000"/>
          <w:sz w:val="22"/>
          <w:lang w:val="es-CO" w:eastAsia="es-CO"/>
        </w:rPr>
        <w:t xml:space="preserve">El arroz como cultivo básico ha adquirido mayor importancia en los últimos años en América Latina (AL) reflejándose en el aumento del consumo </w:t>
      </w:r>
      <w:r w:rsidRPr="0042277C">
        <w:rPr>
          <w:rFonts w:eastAsia="Times New Roman" w:cs="Times New Roman"/>
          <w:i/>
          <w:iCs/>
          <w:color w:val="000000"/>
          <w:sz w:val="22"/>
          <w:lang w:val="es-CO" w:eastAsia="es-CO"/>
        </w:rPr>
        <w:t xml:space="preserve">per cápita </w:t>
      </w:r>
      <w:r w:rsidRPr="0042277C">
        <w:rPr>
          <w:rFonts w:eastAsia="Times New Roman" w:cs="Times New Roman"/>
          <w:color w:val="000000"/>
          <w:sz w:val="22"/>
          <w:lang w:val="es-CO" w:eastAsia="es-CO"/>
        </w:rPr>
        <w:t>(GRiSP, 2013)</w:t>
      </w:r>
      <w:r w:rsidRPr="0042277C">
        <w:rPr>
          <w:rFonts w:eastAsia="Times New Roman" w:cs="Times New Roman"/>
          <w:i/>
          <w:iCs/>
          <w:color w:val="000000"/>
          <w:sz w:val="22"/>
          <w:lang w:val="es-CO" w:eastAsia="es-CO"/>
        </w:rPr>
        <w:t xml:space="preserve">. </w:t>
      </w:r>
      <w:r w:rsidRPr="0042277C">
        <w:rPr>
          <w:rFonts w:eastAsia="Times New Roman" w:cs="Times New Roman"/>
          <w:color w:val="000000"/>
          <w:sz w:val="22"/>
          <w:lang w:val="es-CO" w:eastAsia="es-CO"/>
        </w:rPr>
        <w:t>Los agricultores familiares (&lt;10 ha) en Colombia, Chile y Perú, cuyos medios de subsistencia se basan en la producción de arroz, enfrentan una variedad de desafíos, uno de los más apremiantes es el aumento de la variabilidad climática y la consiguiente disminución en la disponibilidad de agua durante ciertas etapas del cultiv</w:t>
      </w:r>
      <w:r w:rsidR="00A41FF7" w:rsidRPr="0042277C">
        <w:rPr>
          <w:rFonts w:eastAsia="Times New Roman" w:cs="Times New Roman"/>
          <w:color w:val="000000"/>
          <w:sz w:val="22"/>
          <w:lang w:val="es-CO" w:eastAsia="es-CO"/>
        </w:rPr>
        <w:t xml:space="preserve">o del </w:t>
      </w:r>
      <w:r w:rsidR="00E3168D" w:rsidRPr="0042277C">
        <w:rPr>
          <w:rFonts w:eastAsia="Times New Roman" w:cs="Times New Roman"/>
          <w:color w:val="000000"/>
          <w:sz w:val="22"/>
          <w:lang w:val="es-CO" w:eastAsia="es-CO"/>
        </w:rPr>
        <w:t xml:space="preserve">arroz. De </w:t>
      </w:r>
      <w:r w:rsidR="00E3168D" w:rsidRPr="0042277C">
        <w:rPr>
          <w:rFonts w:eastAsia="Times New Roman" w:cs="Times New Roman"/>
          <w:color w:val="000000"/>
          <w:sz w:val="22"/>
          <w:lang w:val="es-CO" w:eastAsia="es-CO"/>
        </w:rPr>
        <w:lastRenderedPageBreak/>
        <w:t>acuerdo a Gonzá</w:t>
      </w:r>
      <w:r w:rsidR="00A41FF7" w:rsidRPr="0042277C">
        <w:rPr>
          <w:rFonts w:eastAsia="Times New Roman" w:cs="Times New Roman"/>
          <w:color w:val="000000"/>
          <w:sz w:val="22"/>
          <w:lang w:val="es-CO" w:eastAsia="es-CO"/>
        </w:rPr>
        <w:t xml:space="preserve">lez </w:t>
      </w:r>
      <w:r w:rsidR="00A41FF7" w:rsidRPr="0042277C">
        <w:rPr>
          <w:rFonts w:eastAsia="Times New Roman" w:cs="Times New Roman"/>
          <w:i/>
          <w:color w:val="000000"/>
          <w:sz w:val="22"/>
          <w:lang w:val="es-CO" w:eastAsia="es-CO"/>
        </w:rPr>
        <w:t>et al</w:t>
      </w:r>
      <w:r w:rsidR="00A41FF7" w:rsidRPr="0042277C">
        <w:rPr>
          <w:rFonts w:eastAsia="Times New Roman" w:cs="Times New Roman"/>
          <w:color w:val="000000"/>
          <w:sz w:val="22"/>
          <w:lang w:val="es-CO" w:eastAsia="es-CO"/>
        </w:rPr>
        <w:t>, (2010</w:t>
      </w:r>
      <w:r w:rsidRPr="0042277C">
        <w:rPr>
          <w:rFonts w:eastAsia="Times New Roman" w:cs="Times New Roman"/>
          <w:color w:val="000000"/>
          <w:sz w:val="22"/>
          <w:lang w:val="es-CO" w:eastAsia="es-CO"/>
        </w:rPr>
        <w:t>), para Colombia se estima</w:t>
      </w:r>
      <w:r w:rsidR="00A41FF7" w:rsidRPr="0042277C">
        <w:rPr>
          <w:rFonts w:eastAsia="Times New Roman" w:cs="Times New Roman"/>
          <w:color w:val="000000"/>
          <w:sz w:val="22"/>
          <w:lang w:val="es-CO" w:eastAsia="es-CO"/>
        </w:rPr>
        <w:t xml:space="preserve"> que son empleados 16000</w:t>
      </w:r>
      <w:r w:rsidRPr="0042277C">
        <w:rPr>
          <w:rFonts w:eastAsia="Times New Roman" w:cs="Times New Roman"/>
          <w:color w:val="000000"/>
          <w:sz w:val="22"/>
          <w:lang w:val="es-CO" w:eastAsia="es-CO"/>
        </w:rPr>
        <w:t xml:space="preserve"> m</w:t>
      </w:r>
      <w:r w:rsidRPr="0042277C">
        <w:rPr>
          <w:rFonts w:eastAsia="Times New Roman" w:cs="Times New Roman"/>
          <w:color w:val="000000"/>
          <w:sz w:val="22"/>
          <w:vertAlign w:val="superscript"/>
          <w:lang w:val="es-CO" w:eastAsia="es-CO"/>
        </w:rPr>
        <w:t>3</w:t>
      </w:r>
      <w:r w:rsidRPr="0042277C">
        <w:rPr>
          <w:rFonts w:eastAsia="Times New Roman" w:cs="Times New Roman"/>
          <w:color w:val="000000"/>
          <w:sz w:val="22"/>
          <w:lang w:val="es-CO" w:eastAsia="es-CO"/>
        </w:rPr>
        <w:t xml:space="preserve"> de agua por ha y por cosecha para el mantenimiento del cultivo de arroz en sus diferentes etapas. En Chile y Perú, no se tiene una estimación precisa del uso del agua, pero se indica que el cultivo utiliza un rango de 14000-18000  y  12000- 17500 m</w:t>
      </w:r>
      <w:r w:rsidRPr="0042277C">
        <w:rPr>
          <w:rFonts w:eastAsia="Times New Roman" w:cs="Times New Roman"/>
          <w:color w:val="000000"/>
          <w:sz w:val="22"/>
          <w:vertAlign w:val="superscript"/>
          <w:lang w:val="es-CO" w:eastAsia="es-CO"/>
        </w:rPr>
        <w:t>3</w:t>
      </w:r>
      <w:r w:rsidRPr="0042277C">
        <w:rPr>
          <w:rFonts w:eastAsia="Times New Roman" w:cs="Times New Roman"/>
          <w:color w:val="000000"/>
          <w:sz w:val="22"/>
          <w:lang w:val="es-CO" w:eastAsia="es-CO"/>
        </w:rPr>
        <w:t>, respectivamente. Por otra parte, la práctica convencional de inundación continua durante el cultivo da lugar a sistemas de arroz que tienen consecuencias ambientales negativas significativas, relacionadas con el aumento de las emisiones de metano (CH</w:t>
      </w:r>
      <w:r w:rsidRPr="0042277C">
        <w:rPr>
          <w:rFonts w:eastAsia="Times New Roman" w:cs="Times New Roman"/>
          <w:color w:val="000000"/>
          <w:sz w:val="22"/>
          <w:vertAlign w:val="subscript"/>
          <w:lang w:val="es-CO" w:eastAsia="es-CO"/>
        </w:rPr>
        <w:t>4</w:t>
      </w:r>
      <w:r w:rsidRPr="0042277C">
        <w:rPr>
          <w:rFonts w:eastAsia="Times New Roman" w:cs="Times New Roman"/>
          <w:color w:val="000000"/>
          <w:sz w:val="22"/>
          <w:lang w:val="es-CO" w:eastAsia="es-CO"/>
        </w:rPr>
        <w:t>). En consecuencia, el potencial de calentamiento global (GWP) asociado a los sistemas de producción de arroz inundado es mayor que el de otros cultivos de cereales. Específicamente, el cultivo de arroz es responsable de 2027, 1880 y 104 Gg CO</w:t>
      </w:r>
      <w:r w:rsidRPr="0042277C">
        <w:rPr>
          <w:rFonts w:eastAsia="Times New Roman" w:cs="Times New Roman"/>
          <w:color w:val="000000"/>
          <w:sz w:val="22"/>
          <w:vertAlign w:val="subscript"/>
          <w:lang w:val="es-CO" w:eastAsia="es-CO"/>
        </w:rPr>
        <w:t>2</w:t>
      </w:r>
      <w:r w:rsidRPr="0042277C">
        <w:rPr>
          <w:rFonts w:eastAsia="Times New Roman" w:cs="Times New Roman"/>
          <w:color w:val="000000"/>
          <w:sz w:val="22"/>
          <w:lang w:val="es-CO" w:eastAsia="es-CO"/>
        </w:rPr>
        <w:t>eq en, Colombia, Perú y Chile respectivamente (FAOSTAT, 2016).</w:t>
      </w:r>
    </w:p>
    <w:p w:rsidR="004C2C80" w:rsidRPr="004C2C80" w:rsidRDefault="004C2C80" w:rsidP="004C2C80">
      <w:pPr>
        <w:jc w:val="left"/>
        <w:rPr>
          <w:rFonts w:eastAsia="Times New Roman" w:cs="Times New Roman"/>
          <w:sz w:val="22"/>
          <w:lang w:val="es-CO" w:eastAsia="es-CO"/>
        </w:rPr>
      </w:pPr>
    </w:p>
    <w:p w:rsidR="004C2C80" w:rsidRPr="0042277C" w:rsidRDefault="004C2C80" w:rsidP="00405213">
      <w:pPr>
        <w:pStyle w:val="ListParagraph"/>
        <w:numPr>
          <w:ilvl w:val="1"/>
          <w:numId w:val="5"/>
        </w:numPr>
        <w:rPr>
          <w:rFonts w:eastAsia="Times New Roman" w:cs="Times New Roman"/>
          <w:sz w:val="22"/>
          <w:lang w:val="es-CO" w:eastAsia="es-CO"/>
        </w:rPr>
      </w:pPr>
      <w:r w:rsidRPr="0042277C">
        <w:rPr>
          <w:rFonts w:eastAsia="Times New Roman" w:cs="Times New Roman"/>
          <w:color w:val="000000"/>
          <w:sz w:val="22"/>
          <w:lang w:val="es-CO" w:eastAsia="es-CO"/>
        </w:rPr>
        <w:t xml:space="preserve">La práctica de manejo del riego que incluye períodos alternados de inundación y secano durante las fases de crecimiento no crítico del arroz (denominado internacionalmente como AWD por sus siglas en inglés (“Alternate Wetting and Drying”), aumenta la eficiencia en el uso del agua (disminuir el uso de agua por 23%)  y a la vez reduce las emisiones de metano (60-87%) sin afectar rendimientos (Bouman and Tuong, 2001; LaHue </w:t>
      </w:r>
      <w:r w:rsidRPr="0042277C">
        <w:rPr>
          <w:rFonts w:eastAsia="Times New Roman" w:cs="Times New Roman"/>
          <w:i/>
          <w:iCs/>
          <w:color w:val="000000"/>
          <w:sz w:val="22"/>
          <w:lang w:val="es-CO" w:eastAsia="es-CO"/>
        </w:rPr>
        <w:t>et al.</w:t>
      </w:r>
      <w:r w:rsidRPr="0042277C">
        <w:rPr>
          <w:rFonts w:eastAsia="Times New Roman" w:cs="Times New Roman"/>
          <w:color w:val="000000"/>
          <w:sz w:val="22"/>
          <w:lang w:val="es-CO" w:eastAsia="es-CO"/>
        </w:rPr>
        <w:t xml:space="preserve">, 2016; Carrijo et al., 2017). Esta práctica de riego inteligente de alternancia de suelo mojado y seco permite una mayor resiliencia de los productores familiares a las variaciones climáticas y aunque ha sido ampliamente evaluada en Asia, aún las investigaciones robustas en buena parte de América Latina son escasas, las cuales se concentran principalmente en Brasil (Moterle </w:t>
      </w:r>
      <w:r w:rsidRPr="0042277C">
        <w:rPr>
          <w:rFonts w:eastAsia="Times New Roman" w:cs="Times New Roman"/>
          <w:i/>
          <w:iCs/>
          <w:color w:val="000000"/>
          <w:sz w:val="22"/>
          <w:lang w:val="es-CO" w:eastAsia="es-CO"/>
        </w:rPr>
        <w:t>et al</w:t>
      </w:r>
      <w:r w:rsidRPr="0042277C">
        <w:rPr>
          <w:rFonts w:eastAsia="Times New Roman" w:cs="Times New Roman"/>
          <w:color w:val="000000"/>
          <w:sz w:val="22"/>
          <w:lang w:val="es-CO" w:eastAsia="es-CO"/>
        </w:rPr>
        <w:t xml:space="preserve">., 2013; Zschornack </w:t>
      </w:r>
      <w:r w:rsidRPr="0042277C">
        <w:rPr>
          <w:rFonts w:eastAsia="Times New Roman" w:cs="Times New Roman"/>
          <w:i/>
          <w:iCs/>
          <w:color w:val="000000"/>
          <w:sz w:val="22"/>
          <w:lang w:val="es-CO" w:eastAsia="es-CO"/>
        </w:rPr>
        <w:t>et al</w:t>
      </w:r>
      <w:r w:rsidRPr="0042277C">
        <w:rPr>
          <w:rFonts w:eastAsia="Times New Roman" w:cs="Times New Roman"/>
          <w:color w:val="000000"/>
          <w:sz w:val="22"/>
          <w:lang w:val="es-CO" w:eastAsia="es-CO"/>
        </w:rPr>
        <w:t xml:space="preserve">., 2016). Varios científicos, han estimado que al año 2025, 15 a 20 millones de hectáreas de los ecosistemas de riego, tendrían problemas por diferentes niveles de escasez de agua (IRRI, 2013). </w:t>
      </w:r>
    </w:p>
    <w:p w:rsidR="004C2C80" w:rsidRPr="004C2C80" w:rsidRDefault="004C2C80" w:rsidP="004C2C80">
      <w:pPr>
        <w:jc w:val="left"/>
        <w:rPr>
          <w:rFonts w:eastAsia="Times New Roman" w:cs="Times New Roman"/>
          <w:sz w:val="22"/>
          <w:lang w:val="es-CO" w:eastAsia="es-CO"/>
        </w:rPr>
      </w:pPr>
    </w:p>
    <w:p w:rsidR="004C2C80" w:rsidRPr="0042277C" w:rsidRDefault="004C2C80" w:rsidP="00405213">
      <w:pPr>
        <w:pStyle w:val="ListParagraph"/>
        <w:numPr>
          <w:ilvl w:val="1"/>
          <w:numId w:val="5"/>
        </w:numPr>
        <w:rPr>
          <w:rFonts w:eastAsia="Times New Roman" w:cs="Times New Roman"/>
          <w:sz w:val="22"/>
          <w:lang w:val="es-CO" w:eastAsia="es-CO"/>
        </w:rPr>
      </w:pPr>
      <w:r w:rsidRPr="00B05D96">
        <w:rPr>
          <w:rFonts w:eastAsia="Times New Roman" w:cs="Times New Roman"/>
          <w:color w:val="000000"/>
          <w:sz w:val="22"/>
          <w:lang w:val="es-CO" w:eastAsia="es-CO"/>
        </w:rPr>
        <w:t>Como sucede con la mayoría de las prácticas de manejo, el desempeño de AWD puede ser altamente específico a las condiciones ambientales donde se implementa (dependiendo de factores edáficos y climáticos, entre otros). El cambio en el manejo del riego es una práctica de difícil adopción por los productores, debido a que es un factor decisivo para lograr buenos rendimientos. Por lo tanto, es necesario evaluar y adaptar el método a las condiciones específicas de cultivo en cada país, demostrando su factibilidad sin afectar la producción final, antes de su implementación en escala productiva comercial.</w:t>
      </w:r>
    </w:p>
    <w:p w:rsidR="0042277C" w:rsidRPr="0042277C" w:rsidRDefault="0042277C" w:rsidP="0042277C">
      <w:pPr>
        <w:pStyle w:val="ListParagraph"/>
        <w:numPr>
          <w:ilvl w:val="0"/>
          <w:numId w:val="0"/>
        </w:numPr>
        <w:ind w:left="1008"/>
        <w:rPr>
          <w:rFonts w:eastAsia="Times New Roman" w:cs="Times New Roman"/>
          <w:sz w:val="22"/>
          <w:lang w:val="es-CO" w:eastAsia="es-CO"/>
        </w:rPr>
      </w:pPr>
    </w:p>
    <w:p w:rsidR="004C2C80" w:rsidRPr="00B05D96" w:rsidRDefault="004C2C80" w:rsidP="00405213">
      <w:pPr>
        <w:pStyle w:val="ListParagraph"/>
        <w:numPr>
          <w:ilvl w:val="1"/>
          <w:numId w:val="5"/>
        </w:numPr>
        <w:rPr>
          <w:rFonts w:eastAsia="Times New Roman" w:cs="Times New Roman"/>
          <w:color w:val="000000"/>
          <w:sz w:val="22"/>
          <w:lang w:val="es-CO" w:eastAsia="es-CO"/>
        </w:rPr>
      </w:pPr>
      <w:r w:rsidRPr="00B05D96">
        <w:rPr>
          <w:rFonts w:eastAsia="Times New Roman" w:cs="Times New Roman"/>
          <w:color w:val="000000"/>
          <w:sz w:val="22"/>
          <w:lang w:val="es-CO" w:eastAsia="es-CO"/>
        </w:rPr>
        <w:t xml:space="preserve">El objetivo del proyecto es validar localmente los beneficios de una producción eficiente, competitiva y con un menor impacto ambiental bajo la implementación de AWD moderado e intensivo en cultivos de arroz en fincas de pequeños productores en Colombia, Perú y Chile. </w:t>
      </w:r>
    </w:p>
    <w:p w:rsidR="004C2C80" w:rsidRPr="004C2C80" w:rsidRDefault="004C2C80" w:rsidP="004C2C80">
      <w:pPr>
        <w:jc w:val="left"/>
        <w:rPr>
          <w:rFonts w:eastAsia="Times New Roman" w:cs="Times New Roman"/>
          <w:sz w:val="22"/>
          <w:lang w:val="es-CO" w:eastAsia="es-CO"/>
        </w:rPr>
      </w:pPr>
    </w:p>
    <w:p w:rsidR="004C2C80" w:rsidRPr="00B05D96" w:rsidRDefault="004C2C80" w:rsidP="00405213">
      <w:pPr>
        <w:pStyle w:val="ListParagraph"/>
        <w:numPr>
          <w:ilvl w:val="1"/>
          <w:numId w:val="5"/>
        </w:numPr>
        <w:rPr>
          <w:rFonts w:eastAsia="Times New Roman" w:cs="Times New Roman"/>
          <w:sz w:val="22"/>
          <w:lang w:val="es-CO" w:eastAsia="es-CO"/>
        </w:rPr>
      </w:pPr>
      <w:r w:rsidRPr="00B05D96">
        <w:rPr>
          <w:rFonts w:eastAsia="Times New Roman" w:cs="Times New Roman"/>
          <w:color w:val="000000"/>
          <w:sz w:val="22"/>
          <w:lang w:val="es-CO" w:eastAsia="es-CO"/>
        </w:rPr>
        <w:t>Los objetivos específicos son: 1) Evaluar la eficiencia del recurso hídrico, rendimientos y emisiones de GEI con diferentes estrategias de manejo de agua, 2) cuantificar la relación costo beneficio de diferentes tratamientos de  manejo del recurso hídrico, 3) modelar</w:t>
      </w:r>
      <w:r w:rsidRPr="00B05D96">
        <w:rPr>
          <w:rFonts w:eastAsia="Times New Roman" w:cs="Times New Roman"/>
          <w:color w:val="FF0000"/>
          <w:sz w:val="22"/>
          <w:lang w:val="es-CO" w:eastAsia="es-CO"/>
        </w:rPr>
        <w:t xml:space="preserve"> </w:t>
      </w:r>
      <w:r w:rsidR="00C50F4B" w:rsidRPr="00B05D96">
        <w:rPr>
          <w:rFonts w:eastAsia="Times New Roman" w:cs="Times New Roman"/>
          <w:color w:val="000000"/>
          <w:sz w:val="22"/>
          <w:lang w:val="es-CO" w:eastAsia="es-CO"/>
        </w:rPr>
        <w:t>las</w:t>
      </w:r>
      <w:r w:rsidRPr="00B05D96">
        <w:rPr>
          <w:rFonts w:eastAsia="Times New Roman" w:cs="Times New Roman"/>
          <w:color w:val="000000"/>
          <w:sz w:val="22"/>
          <w:lang w:val="es-CO" w:eastAsia="es-CO"/>
        </w:rPr>
        <w:t xml:space="preserve"> emisiones de GEI de los diferentes tratamientos evaluados</w:t>
      </w:r>
      <w:r w:rsidR="00C50F4B" w:rsidRPr="00B05D96">
        <w:rPr>
          <w:rFonts w:eastAsia="Times New Roman" w:cs="Times New Roman"/>
          <w:color w:val="000000"/>
          <w:sz w:val="22"/>
          <w:lang w:val="es-CO" w:eastAsia="es-CO"/>
        </w:rPr>
        <w:t xml:space="preserve"> en diferentes escenarios de clima y condición de suelo</w:t>
      </w:r>
      <w:r w:rsidRPr="00B05D96">
        <w:rPr>
          <w:rFonts w:eastAsia="Times New Roman" w:cs="Times New Roman"/>
          <w:color w:val="000000"/>
          <w:sz w:val="22"/>
          <w:lang w:val="es-CO" w:eastAsia="es-CO"/>
        </w:rPr>
        <w:t>, 4) Realizar actividades de extensión sobre las recomendaciones surgidas del proyecto, dirigidas a los productores familiares de arroz.</w:t>
      </w:r>
      <w:r w:rsidRPr="00B05D96">
        <w:rPr>
          <w:rFonts w:eastAsia="Times New Roman" w:cs="Times New Roman"/>
          <w:color w:val="FF0000"/>
          <w:sz w:val="22"/>
          <w:lang w:val="es-CO" w:eastAsia="es-CO"/>
        </w:rPr>
        <w:t xml:space="preserve">  </w:t>
      </w:r>
    </w:p>
    <w:p w:rsidR="004C2C80" w:rsidRPr="004C2C80" w:rsidRDefault="004C2C80" w:rsidP="004C2C80">
      <w:pPr>
        <w:jc w:val="left"/>
        <w:rPr>
          <w:rFonts w:eastAsia="Times New Roman" w:cs="Times New Roman"/>
          <w:sz w:val="22"/>
          <w:lang w:val="es-CO" w:eastAsia="es-CO"/>
        </w:rPr>
      </w:pPr>
    </w:p>
    <w:p w:rsidR="004C2C80" w:rsidRPr="00B05D96" w:rsidRDefault="004C2C80" w:rsidP="00405213">
      <w:pPr>
        <w:pStyle w:val="ListParagraph"/>
        <w:numPr>
          <w:ilvl w:val="1"/>
          <w:numId w:val="5"/>
        </w:numPr>
        <w:rPr>
          <w:rFonts w:eastAsia="Times New Roman" w:cs="Times New Roman"/>
          <w:sz w:val="22"/>
          <w:lang w:val="es-CO" w:eastAsia="es-CO"/>
        </w:rPr>
      </w:pPr>
      <w:r w:rsidRPr="00B05D96">
        <w:rPr>
          <w:rFonts w:eastAsia="Times New Roman" w:cs="Times New Roman"/>
          <w:color w:val="000000"/>
          <w:sz w:val="22"/>
          <w:lang w:val="es-CO" w:eastAsia="es-CO"/>
        </w:rPr>
        <w:t xml:space="preserve">El proyecto está alineado con los objetivos y temas estratégicos del plan de mediano plazo del FONTAGRO (2015-2020), que se centra en mejorar la agricultura familiar. </w:t>
      </w:r>
      <w:r w:rsidRPr="00B05D96">
        <w:rPr>
          <w:rFonts w:eastAsia="Times New Roman" w:cs="Times New Roman"/>
          <w:color w:val="000000"/>
          <w:sz w:val="22"/>
          <w:lang w:val="es-CO" w:eastAsia="es-CO"/>
        </w:rPr>
        <w:lastRenderedPageBreak/>
        <w:t>Específicamente AWD representa una práctica innovadora de gestión del agua que puede contribuir a la adaptación y mitigación del cambio climático en las fincas familiares de arroz y a la vez apoyar una intensificación sostenible de la gestión del agua expresada en kg de arroz producidos por metro cúbico utilizado. Una reducción de los costos de producción y un ahorro en el consumo de agua podría incrementar la competitividad de los sistemas de producción de arroz e incrementar el área de riego resultando en un mayor ingreso para los agricultores familiares. La capacidad de producir arroz con menos agua aumenta la resiliencia de la producción de arroz bajo condiciones climáticas más secas y/o más variables, en consecuencia, aumenta su sostenibilidad. Por lo tanto, nuestro proyecto está perfectamente alineado con la misión de FONTAGRO, abarcando temas como adaptación y mitigación, impacto socioeconómico, impacto productivo, gestión de agua y suelos.</w:t>
      </w:r>
    </w:p>
    <w:p w:rsidR="00F803D0" w:rsidRPr="00B4575B" w:rsidRDefault="00F803D0" w:rsidP="00F803D0">
      <w:pPr>
        <w:spacing w:before="120" w:after="120"/>
        <w:ind w:left="1080"/>
        <w:rPr>
          <w:rFonts w:eastAsiaTheme="majorEastAsia" w:cs="Times New Roman"/>
          <w:b/>
          <w:bCs/>
          <w:smallCaps/>
          <w:sz w:val="24"/>
          <w:szCs w:val="28"/>
          <w:lang w:val="en-US"/>
        </w:rPr>
      </w:pPr>
      <w:r w:rsidRPr="00B4575B">
        <w:rPr>
          <w:rFonts w:eastAsiaTheme="majorEastAsia" w:cs="Times New Roman"/>
          <w:b/>
          <w:bCs/>
          <w:smallCaps/>
          <w:sz w:val="24"/>
          <w:szCs w:val="28"/>
          <w:lang w:val="en-US"/>
        </w:rPr>
        <w:t>Referencias</w:t>
      </w:r>
    </w:p>
    <w:p w:rsidR="00F803D0" w:rsidRPr="00B4575B" w:rsidRDefault="00F803D0" w:rsidP="00F803D0">
      <w:pPr>
        <w:pStyle w:val="NormalWeb"/>
        <w:spacing w:before="120" w:beforeAutospacing="0" w:after="120" w:afterAutospacing="0"/>
        <w:ind w:left="360" w:hanging="360"/>
        <w:jc w:val="both"/>
        <w:rPr>
          <w:color w:val="000000"/>
          <w:sz w:val="22"/>
          <w:szCs w:val="22"/>
          <w:lang w:val="en-US"/>
        </w:rPr>
      </w:pPr>
      <w:r w:rsidRPr="00B4575B">
        <w:rPr>
          <w:color w:val="000000"/>
          <w:sz w:val="22"/>
          <w:szCs w:val="22"/>
          <w:lang w:val="en-US"/>
        </w:rPr>
        <w:t>Bouman</w:t>
      </w:r>
      <w:r w:rsidR="003C0355">
        <w:rPr>
          <w:color w:val="000000"/>
          <w:sz w:val="22"/>
          <w:szCs w:val="22"/>
          <w:lang w:val="en-US"/>
        </w:rPr>
        <w:t>,</w:t>
      </w:r>
      <w:r w:rsidRPr="00B4575B">
        <w:rPr>
          <w:color w:val="000000"/>
          <w:sz w:val="22"/>
          <w:szCs w:val="22"/>
          <w:lang w:val="en-US"/>
        </w:rPr>
        <w:t xml:space="preserve"> B</w:t>
      </w:r>
      <w:r w:rsidR="003C0355">
        <w:rPr>
          <w:color w:val="000000"/>
          <w:sz w:val="22"/>
          <w:szCs w:val="22"/>
          <w:lang w:val="en-US"/>
        </w:rPr>
        <w:t xml:space="preserve">. </w:t>
      </w:r>
      <w:r w:rsidRPr="00B4575B">
        <w:rPr>
          <w:color w:val="000000"/>
          <w:sz w:val="22"/>
          <w:szCs w:val="22"/>
          <w:lang w:val="en-US"/>
        </w:rPr>
        <w:t>A</w:t>
      </w:r>
      <w:r w:rsidR="003C0355">
        <w:rPr>
          <w:color w:val="000000"/>
          <w:sz w:val="22"/>
          <w:szCs w:val="22"/>
          <w:lang w:val="en-US"/>
        </w:rPr>
        <w:t xml:space="preserve">. </w:t>
      </w:r>
      <w:r w:rsidRPr="00B4575B">
        <w:rPr>
          <w:color w:val="000000"/>
          <w:sz w:val="22"/>
          <w:szCs w:val="22"/>
          <w:lang w:val="en-US"/>
        </w:rPr>
        <w:t>M and  Tuong</w:t>
      </w:r>
      <w:r w:rsidR="003C0355">
        <w:rPr>
          <w:color w:val="000000"/>
          <w:sz w:val="22"/>
          <w:szCs w:val="22"/>
          <w:lang w:val="en-US"/>
        </w:rPr>
        <w:t>,</w:t>
      </w:r>
      <w:r w:rsidRPr="00B4575B">
        <w:rPr>
          <w:color w:val="000000"/>
          <w:sz w:val="22"/>
          <w:szCs w:val="22"/>
          <w:lang w:val="en-US"/>
        </w:rPr>
        <w:t xml:space="preserve"> T</w:t>
      </w:r>
      <w:r w:rsidR="003C0355">
        <w:rPr>
          <w:color w:val="000000"/>
          <w:sz w:val="22"/>
          <w:szCs w:val="22"/>
          <w:lang w:val="en-US"/>
        </w:rPr>
        <w:t>.</w:t>
      </w:r>
      <w:r w:rsidRPr="00B4575B">
        <w:rPr>
          <w:color w:val="000000"/>
          <w:sz w:val="22"/>
          <w:szCs w:val="22"/>
          <w:lang w:val="en-US"/>
        </w:rPr>
        <w:t>P</w:t>
      </w:r>
      <w:r w:rsidR="003C0355">
        <w:rPr>
          <w:color w:val="000000"/>
          <w:sz w:val="22"/>
          <w:szCs w:val="22"/>
          <w:lang w:val="en-US"/>
        </w:rPr>
        <w:t>.</w:t>
      </w:r>
      <w:r w:rsidRPr="00B4575B">
        <w:rPr>
          <w:color w:val="000000"/>
          <w:sz w:val="22"/>
          <w:szCs w:val="22"/>
          <w:lang w:val="en-US"/>
        </w:rPr>
        <w:t>, 2001. Field water management to save water and increase its productivity in irrigated low</w:t>
      </w:r>
      <w:r w:rsidR="003C0355">
        <w:rPr>
          <w:color w:val="000000"/>
          <w:sz w:val="22"/>
          <w:szCs w:val="22"/>
          <w:lang w:val="en-US"/>
        </w:rPr>
        <w:t>land rice. Agric. Water Manage 49,</w:t>
      </w:r>
      <w:r w:rsidRPr="00B4575B">
        <w:rPr>
          <w:color w:val="000000"/>
          <w:sz w:val="22"/>
          <w:szCs w:val="22"/>
          <w:lang w:val="en-US"/>
        </w:rPr>
        <w:t>11–30.</w:t>
      </w:r>
    </w:p>
    <w:p w:rsidR="00F803D0" w:rsidRDefault="00F803D0" w:rsidP="00F803D0">
      <w:pPr>
        <w:pStyle w:val="NormalWeb"/>
        <w:spacing w:before="120" w:beforeAutospacing="0" w:after="120" w:afterAutospacing="0"/>
        <w:ind w:left="360" w:hanging="360"/>
        <w:jc w:val="both"/>
        <w:rPr>
          <w:color w:val="000000"/>
          <w:sz w:val="22"/>
          <w:szCs w:val="22"/>
          <w:lang w:val="en-US"/>
        </w:rPr>
      </w:pPr>
      <w:r w:rsidRPr="00F13C23">
        <w:rPr>
          <w:color w:val="000000"/>
          <w:sz w:val="22"/>
          <w:szCs w:val="22"/>
          <w:lang w:val="en-US"/>
        </w:rPr>
        <w:t>Carrijo</w:t>
      </w:r>
      <w:r w:rsidR="003C0355" w:rsidRPr="00F13C23">
        <w:rPr>
          <w:color w:val="000000"/>
          <w:sz w:val="22"/>
          <w:szCs w:val="22"/>
          <w:lang w:val="en-US"/>
        </w:rPr>
        <w:t>,</w:t>
      </w:r>
      <w:r w:rsidRPr="00F13C23">
        <w:rPr>
          <w:color w:val="000000"/>
          <w:sz w:val="22"/>
          <w:szCs w:val="22"/>
          <w:lang w:val="en-US"/>
        </w:rPr>
        <w:t xml:space="preserve"> D</w:t>
      </w:r>
      <w:r w:rsidR="003C0355" w:rsidRPr="00F13C23">
        <w:rPr>
          <w:color w:val="000000"/>
          <w:sz w:val="22"/>
          <w:szCs w:val="22"/>
          <w:lang w:val="en-US"/>
        </w:rPr>
        <w:t>.</w:t>
      </w:r>
      <w:r w:rsidRPr="00F13C23">
        <w:rPr>
          <w:color w:val="000000"/>
          <w:sz w:val="22"/>
          <w:szCs w:val="22"/>
          <w:lang w:val="en-US"/>
        </w:rPr>
        <w:t>R</w:t>
      </w:r>
      <w:r w:rsidR="003C0355" w:rsidRPr="00F13C23">
        <w:rPr>
          <w:color w:val="000000"/>
          <w:sz w:val="22"/>
          <w:szCs w:val="22"/>
          <w:lang w:val="en-US"/>
        </w:rPr>
        <w:t>.</w:t>
      </w:r>
      <w:r w:rsidRPr="00F13C23">
        <w:rPr>
          <w:color w:val="000000"/>
          <w:sz w:val="22"/>
          <w:szCs w:val="22"/>
          <w:lang w:val="en-US"/>
        </w:rPr>
        <w:t>, Lundy</w:t>
      </w:r>
      <w:r w:rsidR="003C0355" w:rsidRPr="00F13C23">
        <w:rPr>
          <w:color w:val="000000"/>
          <w:sz w:val="22"/>
          <w:szCs w:val="22"/>
          <w:lang w:val="en-US"/>
        </w:rPr>
        <w:t>,</w:t>
      </w:r>
      <w:r w:rsidRPr="00F13C23">
        <w:rPr>
          <w:color w:val="000000"/>
          <w:sz w:val="22"/>
          <w:szCs w:val="22"/>
          <w:lang w:val="en-US"/>
        </w:rPr>
        <w:t xml:space="preserve"> M</w:t>
      </w:r>
      <w:r w:rsidR="003C0355" w:rsidRPr="00F13C23">
        <w:rPr>
          <w:color w:val="000000"/>
          <w:sz w:val="22"/>
          <w:szCs w:val="22"/>
          <w:lang w:val="en-US"/>
        </w:rPr>
        <w:t xml:space="preserve">. </w:t>
      </w:r>
      <w:r w:rsidRPr="00F13C23">
        <w:rPr>
          <w:color w:val="000000"/>
          <w:sz w:val="22"/>
          <w:szCs w:val="22"/>
          <w:lang w:val="en-US"/>
        </w:rPr>
        <w:t>E, Linquist</w:t>
      </w:r>
      <w:r w:rsidR="003C0355" w:rsidRPr="00F13C23">
        <w:rPr>
          <w:color w:val="000000"/>
          <w:sz w:val="22"/>
          <w:szCs w:val="22"/>
          <w:lang w:val="en-US"/>
        </w:rPr>
        <w:t>,</w:t>
      </w:r>
      <w:r w:rsidRPr="00F13C23">
        <w:rPr>
          <w:color w:val="000000"/>
          <w:sz w:val="22"/>
          <w:szCs w:val="22"/>
          <w:lang w:val="en-US"/>
        </w:rPr>
        <w:t xml:space="preserve"> B</w:t>
      </w:r>
      <w:r w:rsidR="003C0355" w:rsidRPr="00F13C23">
        <w:rPr>
          <w:color w:val="000000"/>
          <w:sz w:val="22"/>
          <w:szCs w:val="22"/>
          <w:lang w:val="en-US"/>
        </w:rPr>
        <w:t>.</w:t>
      </w:r>
      <w:r w:rsidRPr="00F13C23">
        <w:rPr>
          <w:color w:val="000000"/>
          <w:sz w:val="22"/>
          <w:szCs w:val="22"/>
          <w:lang w:val="en-US"/>
        </w:rPr>
        <w:t>A</w:t>
      </w:r>
      <w:r w:rsidR="003C0355" w:rsidRPr="00F13C23">
        <w:rPr>
          <w:color w:val="000000"/>
          <w:sz w:val="22"/>
          <w:szCs w:val="22"/>
          <w:lang w:val="en-US"/>
        </w:rPr>
        <w:t>.</w:t>
      </w:r>
      <w:r w:rsidRPr="00F13C23">
        <w:rPr>
          <w:color w:val="000000"/>
          <w:sz w:val="22"/>
          <w:szCs w:val="22"/>
          <w:lang w:val="en-US"/>
        </w:rPr>
        <w:t xml:space="preserve">, 2017. </w:t>
      </w:r>
      <w:r w:rsidRPr="00B4575B">
        <w:rPr>
          <w:color w:val="000000"/>
          <w:sz w:val="22"/>
          <w:szCs w:val="22"/>
          <w:lang w:val="en-US"/>
        </w:rPr>
        <w:t>Rice yields and water use under alternate wetting and drying irrigation: A meta</w:t>
      </w:r>
      <w:r w:rsidR="003C0355">
        <w:rPr>
          <w:color w:val="000000"/>
          <w:sz w:val="22"/>
          <w:szCs w:val="22"/>
          <w:lang w:val="en-US"/>
        </w:rPr>
        <w:t>-analysis. Field Crops Res. 203,</w:t>
      </w:r>
      <w:r w:rsidRPr="00B4575B">
        <w:rPr>
          <w:color w:val="000000"/>
          <w:sz w:val="22"/>
          <w:szCs w:val="22"/>
          <w:lang w:val="en-US"/>
        </w:rPr>
        <w:t>173–180.</w:t>
      </w:r>
    </w:p>
    <w:p w:rsidR="001C6998" w:rsidRDefault="001C6998" w:rsidP="001C6998">
      <w:pPr>
        <w:pStyle w:val="NormalWeb"/>
        <w:spacing w:before="120" w:beforeAutospacing="0" w:after="120" w:afterAutospacing="0"/>
        <w:ind w:left="360" w:hanging="360"/>
        <w:jc w:val="both"/>
        <w:rPr>
          <w:color w:val="000000"/>
          <w:sz w:val="22"/>
          <w:szCs w:val="22"/>
          <w:lang w:val="en-US"/>
        </w:rPr>
      </w:pPr>
      <w:r w:rsidRPr="00B4575B">
        <w:rPr>
          <w:color w:val="000000"/>
          <w:sz w:val="22"/>
          <w:szCs w:val="22"/>
          <w:lang w:val="en-US"/>
        </w:rPr>
        <w:t xml:space="preserve">FAO (2016) FAOSTAT Emissions Database, Agriculture, Rice Cultivation. Retrieved from </w:t>
      </w:r>
      <w:hyperlink r:id="rId8" w:anchor="data/GR" w:history="1">
        <w:r w:rsidRPr="00B4575B">
          <w:rPr>
            <w:rStyle w:val="Hyperlink"/>
            <w:color w:val="1155CC"/>
            <w:sz w:val="22"/>
            <w:szCs w:val="22"/>
            <w:lang w:val="en-US"/>
          </w:rPr>
          <w:t>http://www.fao.org/faostat/en/#data/GR</w:t>
        </w:r>
      </w:hyperlink>
      <w:r w:rsidRPr="00B4575B">
        <w:rPr>
          <w:color w:val="000000"/>
          <w:sz w:val="22"/>
          <w:szCs w:val="22"/>
          <w:lang w:val="en-US"/>
        </w:rPr>
        <w:t>.</w:t>
      </w:r>
    </w:p>
    <w:sdt>
      <w:sdtPr>
        <w:id w:val="111145805"/>
        <w:bibliography/>
      </w:sdtPr>
      <w:sdtEndPr>
        <w:rPr>
          <w:rFonts w:eastAsia="Times New Roman" w:cs="Times New Roman"/>
          <w:color w:val="000000"/>
          <w:lang w:eastAsia="es-CO"/>
        </w:rPr>
      </w:sdtEndPr>
      <w:sdtContent>
        <w:p w:rsidR="00E3168D" w:rsidRPr="00E3168D" w:rsidRDefault="00E3168D" w:rsidP="00E3168D">
          <w:pPr>
            <w:pStyle w:val="Bibliography"/>
            <w:ind w:left="360" w:hanging="360"/>
            <w:jc w:val="both"/>
            <w:rPr>
              <w:rFonts w:ascii="Times New Roman" w:eastAsia="Times New Roman" w:hAnsi="Times New Roman" w:cs="Times New Roman"/>
              <w:color w:val="000000"/>
              <w:lang w:eastAsia="es-CO"/>
            </w:rPr>
          </w:pPr>
          <w:r w:rsidRPr="00E3168D">
            <w:rPr>
              <w:rFonts w:ascii="Times New Roman" w:eastAsia="Times New Roman" w:hAnsi="Times New Roman" w:cs="Times New Roman"/>
              <w:color w:val="000000"/>
              <w:lang w:eastAsia="es-CO"/>
            </w:rPr>
            <w:t>González, M., Saldarriaga, G., &amp; Jaramillo, O., 2010. Estimación de la demanda de agua.  IDEAM, Estudio nacional de agua (pp. 170-228). Bogotá: IDEAM.</w:t>
          </w:r>
        </w:p>
      </w:sdtContent>
    </w:sdt>
    <w:p w:rsidR="00F803D0" w:rsidRPr="00F13C23" w:rsidRDefault="00F803D0" w:rsidP="00F803D0">
      <w:pPr>
        <w:pStyle w:val="NormalWeb"/>
        <w:spacing w:before="120" w:beforeAutospacing="0" w:after="120" w:afterAutospacing="0"/>
        <w:ind w:left="360" w:hanging="360"/>
        <w:jc w:val="both"/>
        <w:rPr>
          <w:color w:val="000000"/>
          <w:sz w:val="22"/>
          <w:szCs w:val="22"/>
          <w:lang w:val="en-US"/>
        </w:rPr>
      </w:pPr>
      <w:r w:rsidRPr="002120E6">
        <w:rPr>
          <w:color w:val="000000"/>
          <w:sz w:val="22"/>
          <w:szCs w:val="22"/>
        </w:rPr>
        <w:t xml:space="preserve">GRiSP (Global Rice Science Partnership). 2013. Rice almanac, 4th edition. Los Baños (Philippines): International Rice Research Institute. </w:t>
      </w:r>
      <w:r w:rsidRPr="00F13C23">
        <w:rPr>
          <w:color w:val="000000"/>
          <w:sz w:val="22"/>
          <w:szCs w:val="22"/>
          <w:lang w:val="en-US"/>
        </w:rPr>
        <w:t>283 p.</w:t>
      </w:r>
    </w:p>
    <w:p w:rsidR="00A41FF7" w:rsidRPr="00B4575B" w:rsidRDefault="00A41FF7" w:rsidP="00F803D0">
      <w:pPr>
        <w:pStyle w:val="NormalWeb"/>
        <w:spacing w:before="120" w:beforeAutospacing="0" w:after="120" w:afterAutospacing="0"/>
        <w:ind w:left="360" w:hanging="360"/>
        <w:jc w:val="both"/>
        <w:rPr>
          <w:color w:val="000000"/>
          <w:sz w:val="22"/>
          <w:szCs w:val="22"/>
          <w:lang w:val="en-US"/>
        </w:rPr>
      </w:pPr>
      <w:r w:rsidRPr="00F13C23">
        <w:rPr>
          <w:color w:val="000000"/>
          <w:sz w:val="22"/>
          <w:szCs w:val="22"/>
          <w:lang w:val="en-US"/>
        </w:rPr>
        <w:t xml:space="preserve">IRRI. 2013. </w:t>
      </w:r>
      <w:r w:rsidRPr="00A41FF7">
        <w:rPr>
          <w:color w:val="000000"/>
          <w:sz w:val="22"/>
          <w:szCs w:val="22"/>
          <w:lang w:val="en-US"/>
        </w:rPr>
        <w:t>Smart water technique for rice. Los Baños, Philippines: International Rice Research Institutte (IRRI).</w:t>
      </w:r>
    </w:p>
    <w:p w:rsidR="00F803D0" w:rsidRPr="00B4575B" w:rsidRDefault="00F803D0" w:rsidP="00F803D0">
      <w:pPr>
        <w:pStyle w:val="NormalWeb"/>
        <w:spacing w:before="120" w:beforeAutospacing="0" w:after="120" w:afterAutospacing="0"/>
        <w:ind w:left="360" w:hanging="360"/>
        <w:jc w:val="both"/>
        <w:rPr>
          <w:sz w:val="22"/>
          <w:szCs w:val="22"/>
        </w:rPr>
      </w:pPr>
      <w:r w:rsidRPr="00B4575B">
        <w:rPr>
          <w:color w:val="000000"/>
          <w:sz w:val="22"/>
          <w:szCs w:val="22"/>
          <w:lang w:val="en-US"/>
        </w:rPr>
        <w:t>LaHue</w:t>
      </w:r>
      <w:r w:rsidR="00A41FF7">
        <w:rPr>
          <w:color w:val="000000"/>
          <w:sz w:val="22"/>
          <w:szCs w:val="22"/>
          <w:lang w:val="en-US"/>
        </w:rPr>
        <w:t>,</w:t>
      </w:r>
      <w:r w:rsidRPr="00B4575B">
        <w:rPr>
          <w:color w:val="000000"/>
          <w:sz w:val="22"/>
          <w:szCs w:val="22"/>
          <w:lang w:val="en-US"/>
        </w:rPr>
        <w:t xml:space="preserve"> G</w:t>
      </w:r>
      <w:r w:rsidR="00A41FF7">
        <w:rPr>
          <w:color w:val="000000"/>
          <w:sz w:val="22"/>
          <w:szCs w:val="22"/>
          <w:lang w:val="en-US"/>
        </w:rPr>
        <w:t>.</w:t>
      </w:r>
      <w:r w:rsidRPr="00B4575B">
        <w:rPr>
          <w:color w:val="000000"/>
          <w:sz w:val="22"/>
          <w:szCs w:val="22"/>
          <w:lang w:val="en-US"/>
        </w:rPr>
        <w:t>T</w:t>
      </w:r>
      <w:r w:rsidR="00A41FF7">
        <w:rPr>
          <w:color w:val="000000"/>
          <w:sz w:val="22"/>
          <w:szCs w:val="22"/>
          <w:lang w:val="en-US"/>
        </w:rPr>
        <w:t>.</w:t>
      </w:r>
      <w:r w:rsidRPr="00B4575B">
        <w:rPr>
          <w:color w:val="000000"/>
          <w:sz w:val="22"/>
          <w:szCs w:val="22"/>
          <w:lang w:val="en-US"/>
        </w:rPr>
        <w:t>, Chaney</w:t>
      </w:r>
      <w:r w:rsidR="00A41FF7">
        <w:rPr>
          <w:color w:val="000000"/>
          <w:sz w:val="22"/>
          <w:szCs w:val="22"/>
          <w:lang w:val="en-US"/>
        </w:rPr>
        <w:t>,</w:t>
      </w:r>
      <w:r w:rsidRPr="00B4575B">
        <w:rPr>
          <w:color w:val="000000"/>
          <w:sz w:val="22"/>
          <w:szCs w:val="22"/>
          <w:lang w:val="en-US"/>
        </w:rPr>
        <w:t xml:space="preserve"> R</w:t>
      </w:r>
      <w:r w:rsidR="00A41FF7">
        <w:rPr>
          <w:color w:val="000000"/>
          <w:sz w:val="22"/>
          <w:szCs w:val="22"/>
          <w:lang w:val="en-US"/>
        </w:rPr>
        <w:t>.</w:t>
      </w:r>
      <w:r w:rsidRPr="00B4575B">
        <w:rPr>
          <w:color w:val="000000"/>
          <w:sz w:val="22"/>
          <w:szCs w:val="22"/>
          <w:lang w:val="en-US"/>
        </w:rPr>
        <w:t>L</w:t>
      </w:r>
      <w:r w:rsidR="00A41FF7">
        <w:rPr>
          <w:color w:val="000000"/>
          <w:sz w:val="22"/>
          <w:szCs w:val="22"/>
          <w:lang w:val="en-US"/>
        </w:rPr>
        <w:t>.</w:t>
      </w:r>
      <w:r w:rsidRPr="00B4575B">
        <w:rPr>
          <w:color w:val="000000"/>
          <w:sz w:val="22"/>
          <w:szCs w:val="22"/>
          <w:lang w:val="en-US"/>
        </w:rPr>
        <w:t>, Adviento-Borbe</w:t>
      </w:r>
      <w:r w:rsidR="00A41FF7">
        <w:rPr>
          <w:color w:val="000000"/>
          <w:sz w:val="22"/>
          <w:szCs w:val="22"/>
          <w:lang w:val="en-US"/>
        </w:rPr>
        <w:t>,</w:t>
      </w:r>
      <w:r w:rsidRPr="00B4575B">
        <w:rPr>
          <w:color w:val="000000"/>
          <w:sz w:val="22"/>
          <w:szCs w:val="22"/>
          <w:lang w:val="en-US"/>
        </w:rPr>
        <w:t xml:space="preserve"> M</w:t>
      </w:r>
      <w:r w:rsidR="00A41FF7">
        <w:rPr>
          <w:color w:val="000000"/>
          <w:sz w:val="22"/>
          <w:szCs w:val="22"/>
          <w:lang w:val="en-US"/>
        </w:rPr>
        <w:t>.</w:t>
      </w:r>
      <w:r w:rsidRPr="00B4575B">
        <w:rPr>
          <w:color w:val="000000"/>
          <w:sz w:val="22"/>
          <w:szCs w:val="22"/>
          <w:lang w:val="en-US"/>
        </w:rPr>
        <w:t>A</w:t>
      </w:r>
      <w:r w:rsidR="00A41FF7">
        <w:rPr>
          <w:color w:val="000000"/>
          <w:sz w:val="22"/>
          <w:szCs w:val="22"/>
          <w:lang w:val="en-US"/>
        </w:rPr>
        <w:t>.</w:t>
      </w:r>
      <w:r w:rsidRPr="00B4575B">
        <w:rPr>
          <w:color w:val="000000"/>
          <w:sz w:val="22"/>
          <w:szCs w:val="22"/>
          <w:lang w:val="en-US"/>
        </w:rPr>
        <w:t>A</w:t>
      </w:r>
      <w:r w:rsidR="00A41FF7">
        <w:rPr>
          <w:color w:val="000000"/>
          <w:sz w:val="22"/>
          <w:szCs w:val="22"/>
          <w:lang w:val="en-US"/>
        </w:rPr>
        <w:t>.</w:t>
      </w:r>
      <w:r w:rsidRPr="00B4575B">
        <w:rPr>
          <w:color w:val="000000"/>
          <w:sz w:val="22"/>
          <w:szCs w:val="22"/>
          <w:lang w:val="en-US"/>
        </w:rPr>
        <w:t>, Linquist</w:t>
      </w:r>
      <w:r w:rsidR="00A41FF7">
        <w:rPr>
          <w:color w:val="000000"/>
          <w:sz w:val="22"/>
          <w:szCs w:val="22"/>
          <w:lang w:val="en-US"/>
        </w:rPr>
        <w:t>,</w:t>
      </w:r>
      <w:r w:rsidRPr="00B4575B">
        <w:rPr>
          <w:color w:val="000000"/>
          <w:sz w:val="22"/>
          <w:szCs w:val="22"/>
          <w:lang w:val="en-US"/>
        </w:rPr>
        <w:t xml:space="preserve"> B</w:t>
      </w:r>
      <w:r w:rsidR="00A41FF7">
        <w:rPr>
          <w:color w:val="000000"/>
          <w:sz w:val="22"/>
          <w:szCs w:val="22"/>
          <w:lang w:val="en-US"/>
        </w:rPr>
        <w:t xml:space="preserve">. </w:t>
      </w:r>
      <w:r w:rsidRPr="00B4575B">
        <w:rPr>
          <w:color w:val="000000"/>
          <w:sz w:val="22"/>
          <w:szCs w:val="22"/>
          <w:lang w:val="en-US"/>
        </w:rPr>
        <w:t>A</w:t>
      </w:r>
      <w:r w:rsidR="00A41FF7">
        <w:rPr>
          <w:color w:val="000000"/>
          <w:sz w:val="22"/>
          <w:szCs w:val="22"/>
          <w:lang w:val="en-US"/>
        </w:rPr>
        <w:t>.,</w:t>
      </w:r>
      <w:r w:rsidRPr="00B4575B">
        <w:rPr>
          <w:color w:val="000000"/>
          <w:sz w:val="22"/>
          <w:szCs w:val="22"/>
          <w:lang w:val="en-US"/>
        </w:rPr>
        <w:t xml:space="preserve"> 2016. Alternate wetting and drying in high yielding direct-seeded rice systems accomplished multiple environmental and agronomic objectives. </w:t>
      </w:r>
      <w:r w:rsidR="00A41FF7">
        <w:rPr>
          <w:color w:val="000000"/>
          <w:sz w:val="22"/>
          <w:szCs w:val="22"/>
        </w:rPr>
        <w:t xml:space="preserve">Agr Ecosyst Environ 229, </w:t>
      </w:r>
      <w:r w:rsidRPr="00B4575B">
        <w:rPr>
          <w:color w:val="000000"/>
          <w:sz w:val="22"/>
          <w:szCs w:val="22"/>
        </w:rPr>
        <w:t>30–39.</w:t>
      </w:r>
    </w:p>
    <w:p w:rsidR="00F803D0" w:rsidRPr="00B4575B" w:rsidRDefault="00F803D0" w:rsidP="00F803D0">
      <w:pPr>
        <w:pStyle w:val="NormalWeb"/>
        <w:spacing w:before="120" w:beforeAutospacing="0" w:after="120" w:afterAutospacing="0"/>
        <w:ind w:left="360" w:hanging="360"/>
        <w:jc w:val="both"/>
        <w:rPr>
          <w:sz w:val="22"/>
          <w:szCs w:val="22"/>
          <w:lang w:val="en-US"/>
        </w:rPr>
      </w:pPr>
      <w:r w:rsidRPr="00B4575B">
        <w:rPr>
          <w:color w:val="000000"/>
          <w:sz w:val="22"/>
          <w:szCs w:val="22"/>
        </w:rPr>
        <w:t>Moterle</w:t>
      </w:r>
      <w:r w:rsidR="00A41FF7">
        <w:rPr>
          <w:color w:val="000000"/>
          <w:sz w:val="22"/>
          <w:szCs w:val="22"/>
        </w:rPr>
        <w:t>,</w:t>
      </w:r>
      <w:r w:rsidRPr="00B4575B">
        <w:rPr>
          <w:color w:val="000000"/>
          <w:sz w:val="22"/>
          <w:szCs w:val="22"/>
        </w:rPr>
        <w:t xml:space="preserve"> D</w:t>
      </w:r>
      <w:r w:rsidR="00A41FF7">
        <w:rPr>
          <w:color w:val="000000"/>
          <w:sz w:val="22"/>
          <w:szCs w:val="22"/>
        </w:rPr>
        <w:t xml:space="preserve">. </w:t>
      </w:r>
      <w:r w:rsidRPr="00B4575B">
        <w:rPr>
          <w:color w:val="000000"/>
          <w:sz w:val="22"/>
          <w:szCs w:val="22"/>
        </w:rPr>
        <w:t>F</w:t>
      </w:r>
      <w:r w:rsidR="00A41FF7">
        <w:rPr>
          <w:color w:val="000000"/>
          <w:sz w:val="22"/>
          <w:szCs w:val="22"/>
        </w:rPr>
        <w:t>.</w:t>
      </w:r>
      <w:r w:rsidRPr="00B4575B">
        <w:rPr>
          <w:color w:val="000000"/>
          <w:sz w:val="22"/>
          <w:szCs w:val="22"/>
        </w:rPr>
        <w:t>, da Silva</w:t>
      </w:r>
      <w:r w:rsidR="00A41FF7">
        <w:rPr>
          <w:color w:val="000000"/>
          <w:sz w:val="22"/>
          <w:szCs w:val="22"/>
        </w:rPr>
        <w:t>,</w:t>
      </w:r>
      <w:r w:rsidRPr="00B4575B">
        <w:rPr>
          <w:color w:val="000000"/>
          <w:sz w:val="22"/>
          <w:szCs w:val="22"/>
        </w:rPr>
        <w:t xml:space="preserve"> L</w:t>
      </w:r>
      <w:r w:rsidR="00A41FF7">
        <w:rPr>
          <w:color w:val="000000"/>
          <w:sz w:val="22"/>
          <w:szCs w:val="22"/>
        </w:rPr>
        <w:t xml:space="preserve">. </w:t>
      </w:r>
      <w:r w:rsidRPr="00B4575B">
        <w:rPr>
          <w:color w:val="000000"/>
          <w:sz w:val="22"/>
          <w:szCs w:val="22"/>
        </w:rPr>
        <w:t>S</w:t>
      </w:r>
      <w:r w:rsidR="00A41FF7">
        <w:rPr>
          <w:color w:val="000000"/>
          <w:sz w:val="22"/>
          <w:szCs w:val="22"/>
        </w:rPr>
        <w:t>.</w:t>
      </w:r>
      <w:r w:rsidRPr="00B4575B">
        <w:rPr>
          <w:color w:val="000000"/>
          <w:sz w:val="22"/>
          <w:szCs w:val="22"/>
        </w:rPr>
        <w:t>, Moro</w:t>
      </w:r>
      <w:r w:rsidR="00A41FF7">
        <w:rPr>
          <w:color w:val="000000"/>
          <w:sz w:val="22"/>
          <w:szCs w:val="22"/>
        </w:rPr>
        <w:t>,</w:t>
      </w:r>
      <w:r w:rsidRPr="00B4575B">
        <w:rPr>
          <w:color w:val="000000"/>
          <w:sz w:val="22"/>
          <w:szCs w:val="22"/>
        </w:rPr>
        <w:t xml:space="preserve"> V</w:t>
      </w:r>
      <w:r w:rsidR="00A41FF7">
        <w:rPr>
          <w:color w:val="000000"/>
          <w:sz w:val="22"/>
          <w:szCs w:val="22"/>
        </w:rPr>
        <w:t xml:space="preserve">. </w:t>
      </w:r>
      <w:r w:rsidRPr="00B4575B">
        <w:rPr>
          <w:color w:val="000000"/>
          <w:sz w:val="22"/>
          <w:szCs w:val="22"/>
        </w:rPr>
        <w:t>J</w:t>
      </w:r>
      <w:r w:rsidR="00A41FF7">
        <w:rPr>
          <w:color w:val="000000"/>
          <w:sz w:val="22"/>
          <w:szCs w:val="22"/>
        </w:rPr>
        <w:t>.</w:t>
      </w:r>
      <w:r w:rsidRPr="00B4575B">
        <w:rPr>
          <w:color w:val="000000"/>
          <w:sz w:val="22"/>
          <w:szCs w:val="22"/>
        </w:rPr>
        <w:t>, Bayer</w:t>
      </w:r>
      <w:r w:rsidR="00A41FF7">
        <w:rPr>
          <w:color w:val="000000"/>
          <w:sz w:val="22"/>
          <w:szCs w:val="22"/>
        </w:rPr>
        <w:t>,</w:t>
      </w:r>
      <w:r w:rsidRPr="00B4575B">
        <w:rPr>
          <w:color w:val="000000"/>
          <w:sz w:val="22"/>
          <w:szCs w:val="22"/>
        </w:rPr>
        <w:t xml:space="preserve"> C</w:t>
      </w:r>
      <w:r w:rsidR="00A41FF7">
        <w:rPr>
          <w:color w:val="000000"/>
          <w:sz w:val="22"/>
          <w:szCs w:val="22"/>
        </w:rPr>
        <w:t>.</w:t>
      </w:r>
      <w:r w:rsidRPr="00B4575B">
        <w:rPr>
          <w:color w:val="000000"/>
          <w:sz w:val="22"/>
          <w:szCs w:val="22"/>
        </w:rPr>
        <w:t>, Zschornack</w:t>
      </w:r>
      <w:r w:rsidR="00A41FF7">
        <w:rPr>
          <w:color w:val="000000"/>
          <w:sz w:val="22"/>
          <w:szCs w:val="22"/>
        </w:rPr>
        <w:t>,</w:t>
      </w:r>
      <w:r w:rsidRPr="00B4575B">
        <w:rPr>
          <w:color w:val="000000"/>
          <w:sz w:val="22"/>
          <w:szCs w:val="22"/>
        </w:rPr>
        <w:t xml:space="preserve"> T</w:t>
      </w:r>
      <w:r w:rsidR="00A41FF7">
        <w:rPr>
          <w:color w:val="000000"/>
          <w:sz w:val="22"/>
          <w:szCs w:val="22"/>
        </w:rPr>
        <w:t>.</w:t>
      </w:r>
      <w:r w:rsidRPr="00B4575B">
        <w:rPr>
          <w:color w:val="000000"/>
          <w:sz w:val="22"/>
          <w:szCs w:val="22"/>
        </w:rPr>
        <w:t>, Avila</w:t>
      </w:r>
      <w:r w:rsidR="00A41FF7">
        <w:rPr>
          <w:color w:val="000000"/>
          <w:sz w:val="22"/>
          <w:szCs w:val="22"/>
        </w:rPr>
        <w:t>,</w:t>
      </w:r>
      <w:r w:rsidRPr="00B4575B">
        <w:rPr>
          <w:color w:val="000000"/>
          <w:sz w:val="22"/>
          <w:szCs w:val="22"/>
        </w:rPr>
        <w:t xml:space="preserve"> L</w:t>
      </w:r>
      <w:r w:rsidR="00A41FF7">
        <w:rPr>
          <w:color w:val="000000"/>
          <w:sz w:val="22"/>
          <w:szCs w:val="22"/>
        </w:rPr>
        <w:t xml:space="preserve">. </w:t>
      </w:r>
      <w:r w:rsidRPr="00B4575B">
        <w:rPr>
          <w:color w:val="000000"/>
          <w:sz w:val="22"/>
          <w:szCs w:val="22"/>
        </w:rPr>
        <w:t>A</w:t>
      </w:r>
      <w:r w:rsidR="00A41FF7">
        <w:rPr>
          <w:color w:val="000000"/>
          <w:sz w:val="22"/>
          <w:szCs w:val="22"/>
        </w:rPr>
        <w:t>.</w:t>
      </w:r>
      <w:r w:rsidRPr="00B4575B">
        <w:rPr>
          <w:color w:val="000000"/>
          <w:sz w:val="22"/>
          <w:szCs w:val="22"/>
        </w:rPr>
        <w:t>, Cas Bundt</w:t>
      </w:r>
      <w:r w:rsidR="00A41FF7">
        <w:rPr>
          <w:color w:val="000000"/>
          <w:sz w:val="22"/>
          <w:szCs w:val="22"/>
        </w:rPr>
        <w:t>,</w:t>
      </w:r>
      <w:r w:rsidRPr="00B4575B">
        <w:rPr>
          <w:color w:val="000000"/>
          <w:sz w:val="22"/>
          <w:szCs w:val="22"/>
        </w:rPr>
        <w:t xml:space="preserve"> A</w:t>
      </w:r>
      <w:r w:rsidR="00A41FF7">
        <w:rPr>
          <w:color w:val="000000"/>
          <w:sz w:val="22"/>
          <w:szCs w:val="22"/>
        </w:rPr>
        <w:t>.,</w:t>
      </w:r>
      <w:r w:rsidRPr="00B4575B">
        <w:rPr>
          <w:color w:val="000000"/>
          <w:sz w:val="22"/>
          <w:szCs w:val="22"/>
        </w:rPr>
        <w:t xml:space="preserve"> 2013. </w:t>
      </w:r>
      <w:r w:rsidRPr="00B4575B">
        <w:rPr>
          <w:color w:val="000000"/>
          <w:sz w:val="22"/>
          <w:szCs w:val="22"/>
          <w:lang w:val="en-US"/>
        </w:rPr>
        <w:t>Methane efflux in rice paddy field under different irrigation managements. Revista B</w:t>
      </w:r>
      <w:r w:rsidR="00A41FF7">
        <w:rPr>
          <w:color w:val="000000"/>
          <w:sz w:val="22"/>
          <w:szCs w:val="22"/>
          <w:lang w:val="en-US"/>
        </w:rPr>
        <w:t xml:space="preserve">rasileira de Ciência do Solo 37, </w:t>
      </w:r>
      <w:r w:rsidRPr="00B4575B">
        <w:rPr>
          <w:color w:val="000000"/>
          <w:sz w:val="22"/>
          <w:szCs w:val="22"/>
          <w:lang w:val="en-US"/>
        </w:rPr>
        <w:t>431–437.</w:t>
      </w:r>
    </w:p>
    <w:p w:rsidR="00F803D0" w:rsidRPr="00A41FF7" w:rsidRDefault="00F803D0" w:rsidP="00F803D0">
      <w:pPr>
        <w:pStyle w:val="NormalWeb"/>
        <w:spacing w:before="120" w:beforeAutospacing="0" w:after="120" w:afterAutospacing="0"/>
        <w:ind w:left="360" w:hanging="360"/>
        <w:jc w:val="both"/>
        <w:rPr>
          <w:lang w:val="en-US"/>
        </w:rPr>
      </w:pPr>
      <w:r w:rsidRPr="00B4575B">
        <w:rPr>
          <w:color w:val="000000"/>
          <w:sz w:val="22"/>
          <w:szCs w:val="22"/>
          <w:lang w:val="en-US"/>
        </w:rPr>
        <w:t>Zschornack</w:t>
      </w:r>
      <w:r w:rsidR="00A41FF7">
        <w:rPr>
          <w:color w:val="000000"/>
          <w:sz w:val="22"/>
          <w:szCs w:val="22"/>
          <w:lang w:val="en-US"/>
        </w:rPr>
        <w:t>,</w:t>
      </w:r>
      <w:r w:rsidRPr="00B4575B">
        <w:rPr>
          <w:color w:val="000000"/>
          <w:sz w:val="22"/>
          <w:szCs w:val="22"/>
          <w:lang w:val="en-US"/>
        </w:rPr>
        <w:t xml:space="preserve"> T</w:t>
      </w:r>
      <w:r w:rsidR="00A41FF7">
        <w:rPr>
          <w:color w:val="000000"/>
          <w:sz w:val="22"/>
          <w:szCs w:val="22"/>
          <w:lang w:val="en-US"/>
        </w:rPr>
        <w:t>.</w:t>
      </w:r>
      <w:r w:rsidRPr="00B4575B">
        <w:rPr>
          <w:color w:val="000000"/>
          <w:sz w:val="22"/>
          <w:szCs w:val="22"/>
          <w:lang w:val="en-US"/>
        </w:rPr>
        <w:t>, da Rosa</w:t>
      </w:r>
      <w:r w:rsidR="00A41FF7">
        <w:rPr>
          <w:color w:val="000000"/>
          <w:sz w:val="22"/>
          <w:szCs w:val="22"/>
          <w:lang w:val="en-US"/>
        </w:rPr>
        <w:t>,</w:t>
      </w:r>
      <w:r w:rsidRPr="00B4575B">
        <w:rPr>
          <w:color w:val="000000"/>
          <w:sz w:val="22"/>
          <w:szCs w:val="22"/>
          <w:lang w:val="en-US"/>
        </w:rPr>
        <w:t xml:space="preserve"> C</w:t>
      </w:r>
      <w:r w:rsidR="00A41FF7">
        <w:rPr>
          <w:color w:val="000000"/>
          <w:sz w:val="22"/>
          <w:szCs w:val="22"/>
          <w:lang w:val="en-US"/>
        </w:rPr>
        <w:t xml:space="preserve">. </w:t>
      </w:r>
      <w:r w:rsidRPr="00B4575B">
        <w:rPr>
          <w:color w:val="000000"/>
          <w:sz w:val="22"/>
          <w:szCs w:val="22"/>
          <w:lang w:val="en-US"/>
        </w:rPr>
        <w:t>M</w:t>
      </w:r>
      <w:r w:rsidR="00A41FF7">
        <w:rPr>
          <w:color w:val="000000"/>
          <w:sz w:val="22"/>
          <w:szCs w:val="22"/>
          <w:lang w:val="en-US"/>
        </w:rPr>
        <w:t>.</w:t>
      </w:r>
      <w:r w:rsidRPr="00B4575B">
        <w:rPr>
          <w:color w:val="000000"/>
          <w:sz w:val="22"/>
          <w:szCs w:val="22"/>
          <w:lang w:val="en-US"/>
        </w:rPr>
        <w:t>, Pedroso</w:t>
      </w:r>
      <w:r w:rsidR="00A41FF7">
        <w:rPr>
          <w:color w:val="000000"/>
          <w:sz w:val="22"/>
          <w:szCs w:val="22"/>
          <w:lang w:val="en-US"/>
        </w:rPr>
        <w:t>,</w:t>
      </w:r>
      <w:r w:rsidRPr="00B4575B">
        <w:rPr>
          <w:color w:val="000000"/>
          <w:sz w:val="22"/>
          <w:szCs w:val="22"/>
          <w:lang w:val="en-US"/>
        </w:rPr>
        <w:t xml:space="preserve"> G</w:t>
      </w:r>
      <w:r w:rsidR="00A41FF7">
        <w:rPr>
          <w:color w:val="000000"/>
          <w:sz w:val="22"/>
          <w:szCs w:val="22"/>
          <w:lang w:val="en-US"/>
        </w:rPr>
        <w:t xml:space="preserve">. </w:t>
      </w:r>
      <w:r w:rsidRPr="00B4575B">
        <w:rPr>
          <w:color w:val="000000"/>
          <w:sz w:val="22"/>
          <w:szCs w:val="22"/>
          <w:lang w:val="en-US"/>
        </w:rPr>
        <w:t>M</w:t>
      </w:r>
      <w:r w:rsidR="00A41FF7">
        <w:rPr>
          <w:color w:val="000000"/>
          <w:sz w:val="22"/>
          <w:szCs w:val="22"/>
          <w:lang w:val="en-US"/>
        </w:rPr>
        <w:t>.</w:t>
      </w:r>
      <w:r w:rsidRPr="00B4575B">
        <w:rPr>
          <w:color w:val="000000"/>
          <w:sz w:val="22"/>
          <w:szCs w:val="22"/>
          <w:lang w:val="en-US"/>
        </w:rPr>
        <w:t>, Marcolin</w:t>
      </w:r>
      <w:r w:rsidR="00A41FF7">
        <w:rPr>
          <w:color w:val="000000"/>
          <w:sz w:val="22"/>
          <w:szCs w:val="22"/>
          <w:lang w:val="en-US"/>
        </w:rPr>
        <w:t>,</w:t>
      </w:r>
      <w:r w:rsidRPr="00B4575B">
        <w:rPr>
          <w:color w:val="000000"/>
          <w:sz w:val="22"/>
          <w:szCs w:val="22"/>
          <w:lang w:val="en-US"/>
        </w:rPr>
        <w:t xml:space="preserve"> E</w:t>
      </w:r>
      <w:r w:rsidR="00A41FF7">
        <w:rPr>
          <w:color w:val="000000"/>
          <w:sz w:val="22"/>
          <w:szCs w:val="22"/>
          <w:lang w:val="en-US"/>
        </w:rPr>
        <w:t>.</w:t>
      </w:r>
      <w:r w:rsidRPr="00B4575B">
        <w:rPr>
          <w:color w:val="000000"/>
          <w:sz w:val="22"/>
          <w:szCs w:val="22"/>
          <w:lang w:val="en-US"/>
        </w:rPr>
        <w:t>, da Silva</w:t>
      </w:r>
      <w:r w:rsidR="00A41FF7">
        <w:rPr>
          <w:color w:val="000000"/>
          <w:sz w:val="22"/>
          <w:szCs w:val="22"/>
          <w:lang w:val="en-US"/>
        </w:rPr>
        <w:t>,</w:t>
      </w:r>
      <w:r w:rsidRPr="00B4575B">
        <w:rPr>
          <w:color w:val="000000"/>
          <w:sz w:val="22"/>
          <w:szCs w:val="22"/>
          <w:lang w:val="en-US"/>
        </w:rPr>
        <w:t xml:space="preserve"> P</w:t>
      </w:r>
      <w:r w:rsidR="00A41FF7">
        <w:rPr>
          <w:color w:val="000000"/>
          <w:sz w:val="22"/>
          <w:szCs w:val="22"/>
          <w:lang w:val="en-US"/>
        </w:rPr>
        <w:t xml:space="preserve">. </w:t>
      </w:r>
      <w:r w:rsidRPr="00B4575B">
        <w:rPr>
          <w:color w:val="000000"/>
          <w:sz w:val="22"/>
          <w:szCs w:val="22"/>
          <w:lang w:val="en-US"/>
        </w:rPr>
        <w:t>R</w:t>
      </w:r>
      <w:r w:rsidR="00A41FF7">
        <w:rPr>
          <w:color w:val="000000"/>
          <w:sz w:val="22"/>
          <w:szCs w:val="22"/>
          <w:lang w:val="en-US"/>
        </w:rPr>
        <w:t xml:space="preserve">. </w:t>
      </w:r>
      <w:r w:rsidRPr="00B4575B">
        <w:rPr>
          <w:color w:val="000000"/>
          <w:sz w:val="22"/>
          <w:szCs w:val="22"/>
          <w:lang w:val="en-US"/>
        </w:rPr>
        <w:t>F</w:t>
      </w:r>
      <w:r w:rsidR="00A41FF7">
        <w:rPr>
          <w:color w:val="000000"/>
          <w:sz w:val="22"/>
          <w:szCs w:val="22"/>
          <w:lang w:val="en-US"/>
        </w:rPr>
        <w:t>.</w:t>
      </w:r>
      <w:r w:rsidRPr="00B4575B">
        <w:rPr>
          <w:color w:val="000000"/>
          <w:sz w:val="22"/>
          <w:szCs w:val="22"/>
          <w:lang w:val="en-US"/>
        </w:rPr>
        <w:t>, Bayer</w:t>
      </w:r>
      <w:r w:rsidR="00A41FF7">
        <w:rPr>
          <w:color w:val="000000"/>
          <w:sz w:val="22"/>
          <w:szCs w:val="22"/>
          <w:lang w:val="en-US"/>
        </w:rPr>
        <w:t>,</w:t>
      </w:r>
      <w:r w:rsidRPr="00B4575B">
        <w:rPr>
          <w:color w:val="000000"/>
          <w:sz w:val="22"/>
          <w:szCs w:val="22"/>
          <w:lang w:val="en-US"/>
        </w:rPr>
        <w:t xml:space="preserve"> C</w:t>
      </w:r>
      <w:r w:rsidR="00A41FF7">
        <w:rPr>
          <w:color w:val="000000"/>
          <w:sz w:val="22"/>
          <w:szCs w:val="22"/>
          <w:lang w:val="en-US"/>
        </w:rPr>
        <w:t>., 2016</w:t>
      </w:r>
      <w:r w:rsidRPr="00B4575B">
        <w:rPr>
          <w:color w:val="000000"/>
          <w:sz w:val="22"/>
          <w:szCs w:val="22"/>
          <w:lang w:val="en-US"/>
        </w:rPr>
        <w:t xml:space="preserve"> Mitigation of yield-scaled greenhouse gas emissions in subtropical paddy rice under alternative irrigation systems. </w:t>
      </w:r>
      <w:r w:rsidR="00A41FF7">
        <w:rPr>
          <w:color w:val="000000"/>
          <w:sz w:val="22"/>
          <w:szCs w:val="22"/>
          <w:lang w:val="en-US"/>
        </w:rPr>
        <w:t xml:space="preserve">Nutr Cycl Agroecosys 105, </w:t>
      </w:r>
      <w:r w:rsidRPr="00A41FF7">
        <w:rPr>
          <w:color w:val="000000"/>
          <w:sz w:val="22"/>
          <w:szCs w:val="22"/>
          <w:lang w:val="en-US"/>
        </w:rPr>
        <w:t>61–73</w:t>
      </w:r>
      <w:r w:rsidRPr="00A41FF7">
        <w:rPr>
          <w:color w:val="000000"/>
          <w:lang w:val="en-US"/>
        </w:rPr>
        <w:t>.</w:t>
      </w:r>
    </w:p>
    <w:p w:rsidR="008F5F33" w:rsidRPr="00A41FF7" w:rsidRDefault="008F5F33" w:rsidP="008F5F33">
      <w:pPr>
        <w:rPr>
          <w:lang w:val="en-US"/>
        </w:rPr>
      </w:pPr>
    </w:p>
    <w:p w:rsidR="008F5F33" w:rsidRDefault="008F5F33" w:rsidP="008F5F33">
      <w:pPr>
        <w:rPr>
          <w:lang w:val="en-US"/>
        </w:rPr>
      </w:pPr>
    </w:p>
    <w:p w:rsidR="00B05D96" w:rsidRDefault="00B05D96" w:rsidP="008F5F33">
      <w:pPr>
        <w:rPr>
          <w:lang w:val="en-US"/>
        </w:rPr>
      </w:pPr>
    </w:p>
    <w:p w:rsidR="00B05D96" w:rsidRDefault="00B05D96" w:rsidP="008F5F33">
      <w:pPr>
        <w:rPr>
          <w:lang w:val="en-US"/>
        </w:rPr>
      </w:pPr>
    </w:p>
    <w:p w:rsidR="00C43A2D" w:rsidRDefault="00C43A2D" w:rsidP="008F5F33">
      <w:pPr>
        <w:rPr>
          <w:lang w:val="en-US"/>
        </w:rPr>
      </w:pPr>
    </w:p>
    <w:p w:rsidR="00C43A2D" w:rsidRDefault="00C43A2D" w:rsidP="008F5F33">
      <w:pPr>
        <w:rPr>
          <w:lang w:val="en-US"/>
        </w:rPr>
      </w:pPr>
    </w:p>
    <w:p w:rsidR="00C43A2D" w:rsidRDefault="00C43A2D" w:rsidP="008F5F33">
      <w:pPr>
        <w:rPr>
          <w:lang w:val="en-US"/>
        </w:rPr>
      </w:pPr>
    </w:p>
    <w:p w:rsidR="00B05D96" w:rsidRDefault="00B05D96" w:rsidP="008F5F33">
      <w:pPr>
        <w:rPr>
          <w:lang w:val="en-US"/>
        </w:rPr>
      </w:pPr>
    </w:p>
    <w:p w:rsidR="00B05D96" w:rsidRPr="00A41FF7" w:rsidRDefault="00B05D96" w:rsidP="008F5F33">
      <w:pPr>
        <w:rPr>
          <w:lang w:val="en-US"/>
        </w:rPr>
      </w:pPr>
    </w:p>
    <w:p w:rsidR="0095711B" w:rsidRPr="000B7E0D" w:rsidRDefault="00F00960" w:rsidP="00405213">
      <w:pPr>
        <w:pStyle w:val="Heading1"/>
        <w:numPr>
          <w:ilvl w:val="0"/>
          <w:numId w:val="3"/>
        </w:numPr>
        <w:rPr>
          <w:rFonts w:ascii="Times New Roman" w:hAnsi="Times New Roman" w:cs="Times New Roman"/>
        </w:rPr>
      </w:pPr>
      <w:r w:rsidRPr="000B7E0D">
        <w:rPr>
          <w:rFonts w:ascii="Times New Roman" w:hAnsi="Times New Roman" w:cs="Times New Roman"/>
        </w:rPr>
        <w:lastRenderedPageBreak/>
        <w:t xml:space="preserve">Descripción de las </w:t>
      </w:r>
      <w:r w:rsidR="00A12C27" w:rsidRPr="000B7E0D">
        <w:rPr>
          <w:rFonts w:ascii="Times New Roman" w:hAnsi="Times New Roman" w:cs="Times New Roman"/>
        </w:rPr>
        <w:t>activi</w:t>
      </w:r>
      <w:r w:rsidRPr="000B7E0D">
        <w:rPr>
          <w:rFonts w:ascii="Times New Roman" w:hAnsi="Times New Roman" w:cs="Times New Roman"/>
        </w:rPr>
        <w:t>dades</w:t>
      </w:r>
      <w:r w:rsidR="00775B45" w:rsidRPr="000B7E0D">
        <w:rPr>
          <w:rFonts w:ascii="Times New Roman" w:hAnsi="Times New Roman" w:cs="Times New Roman"/>
        </w:rPr>
        <w:t xml:space="preserve">, </w:t>
      </w:r>
      <w:r w:rsidR="00F6363D" w:rsidRPr="000B7E0D">
        <w:rPr>
          <w:rFonts w:ascii="Times New Roman" w:hAnsi="Times New Roman" w:cs="Times New Roman"/>
        </w:rPr>
        <w:t>component</w:t>
      </w:r>
      <w:r w:rsidRPr="000B7E0D">
        <w:rPr>
          <w:rFonts w:ascii="Times New Roman" w:hAnsi="Times New Roman" w:cs="Times New Roman"/>
        </w:rPr>
        <w:t>e</w:t>
      </w:r>
      <w:r w:rsidR="00F6363D" w:rsidRPr="000B7E0D">
        <w:rPr>
          <w:rFonts w:ascii="Times New Roman" w:hAnsi="Times New Roman" w:cs="Times New Roman"/>
        </w:rPr>
        <w:t>s</w:t>
      </w:r>
      <w:r w:rsidR="009C5C06" w:rsidRPr="000B7E0D">
        <w:rPr>
          <w:rFonts w:ascii="Times New Roman" w:hAnsi="Times New Roman" w:cs="Times New Roman"/>
        </w:rPr>
        <w:t xml:space="preserve"> </w:t>
      </w:r>
      <w:r w:rsidRPr="000B7E0D">
        <w:rPr>
          <w:rFonts w:ascii="Times New Roman" w:hAnsi="Times New Roman" w:cs="Times New Roman"/>
        </w:rPr>
        <w:t>y presupuesto</w:t>
      </w:r>
    </w:p>
    <w:p w:rsidR="0061099D" w:rsidRPr="000B7E0D" w:rsidRDefault="0061099D" w:rsidP="002F6362">
      <w:pPr>
        <w:spacing w:before="120" w:after="120"/>
        <w:rPr>
          <w:rFonts w:cs="Times New Roman"/>
          <w:color w:val="0000FF"/>
          <w:highlight w:val="lightGray"/>
        </w:rPr>
      </w:pPr>
    </w:p>
    <w:p w:rsidR="003B57CC" w:rsidRPr="003B57CC" w:rsidRDefault="003B57CC" w:rsidP="003B57CC">
      <w:pPr>
        <w:spacing w:before="120" w:after="120"/>
        <w:ind w:left="360"/>
        <w:rPr>
          <w:rFonts w:eastAsia="Times New Roman" w:cs="Times New Roman"/>
          <w:sz w:val="24"/>
          <w:szCs w:val="24"/>
          <w:lang w:val="es-CO" w:eastAsia="es-CO"/>
        </w:rPr>
      </w:pPr>
      <w:r w:rsidRPr="003B57CC">
        <w:rPr>
          <w:rFonts w:ascii="Times" w:eastAsia="Times New Roman" w:hAnsi="Times" w:cs="Times"/>
          <w:b/>
          <w:bCs/>
          <w:color w:val="000000"/>
          <w:sz w:val="24"/>
          <w:szCs w:val="24"/>
          <w:lang w:val="es-CO" w:eastAsia="es-CO"/>
        </w:rPr>
        <w:t>Componentes</w:t>
      </w:r>
    </w:p>
    <w:p w:rsidR="003B57CC" w:rsidRPr="00C43A2D" w:rsidRDefault="003B57CC" w:rsidP="00405213">
      <w:pPr>
        <w:pStyle w:val="ListParagraph"/>
        <w:numPr>
          <w:ilvl w:val="1"/>
          <w:numId w:val="6"/>
        </w:numPr>
        <w:rPr>
          <w:rFonts w:eastAsia="Times New Roman" w:cs="Times New Roman"/>
          <w:sz w:val="22"/>
          <w:lang w:val="es-CO" w:eastAsia="es-CO"/>
        </w:rPr>
      </w:pPr>
      <w:r w:rsidRPr="00C43A2D">
        <w:rPr>
          <w:rFonts w:eastAsia="Times New Roman" w:cs="Times New Roman"/>
          <w:color w:val="000000"/>
          <w:sz w:val="22"/>
          <w:lang w:val="es-CO" w:eastAsia="es-CO"/>
        </w:rPr>
        <w:t>El proyecto está organizado en cuatro componentes identificados con la sigla CP. El CP1 corresponde a la selección de fincas y evaluaciones biofísicas, el CP2 a las evaluaciones económicas de sitios monitoreados, el CP3 al anál</w:t>
      </w:r>
      <w:r w:rsidR="00B51972" w:rsidRPr="00C43A2D">
        <w:rPr>
          <w:rFonts w:eastAsia="Times New Roman" w:cs="Times New Roman"/>
          <w:color w:val="000000"/>
          <w:sz w:val="22"/>
          <w:lang w:val="es-CO" w:eastAsia="es-CO"/>
        </w:rPr>
        <w:t>isis y síntesis de escenarios con</w:t>
      </w:r>
      <w:r w:rsidRPr="00C43A2D">
        <w:rPr>
          <w:rFonts w:eastAsia="Times New Roman" w:cs="Times New Roman"/>
          <w:color w:val="000000"/>
          <w:sz w:val="22"/>
          <w:lang w:val="es-CO" w:eastAsia="es-CO"/>
        </w:rPr>
        <w:t xml:space="preserve"> base a modelos y finalmente el CP4 a las estrate</w:t>
      </w:r>
      <w:r w:rsidR="00DB7F42" w:rsidRPr="00C43A2D">
        <w:rPr>
          <w:rFonts w:eastAsia="Times New Roman" w:cs="Times New Roman"/>
          <w:color w:val="000000"/>
          <w:sz w:val="22"/>
          <w:lang w:val="es-CO" w:eastAsia="es-CO"/>
        </w:rPr>
        <w:t>gias de comunicación y divulgación</w:t>
      </w:r>
      <w:r w:rsidRPr="00C43A2D">
        <w:rPr>
          <w:rFonts w:eastAsia="Times New Roman" w:cs="Times New Roman"/>
          <w:color w:val="000000"/>
          <w:sz w:val="22"/>
          <w:lang w:val="es-CO" w:eastAsia="es-CO"/>
        </w:rPr>
        <w:t>.</w:t>
      </w:r>
    </w:p>
    <w:p w:rsidR="00C43A2D" w:rsidRPr="00C43A2D" w:rsidRDefault="00C43A2D" w:rsidP="00C43A2D">
      <w:pPr>
        <w:pStyle w:val="ListParagraph"/>
        <w:numPr>
          <w:ilvl w:val="0"/>
          <w:numId w:val="0"/>
        </w:numPr>
        <w:ind w:left="1008"/>
        <w:rPr>
          <w:rFonts w:eastAsia="Times New Roman" w:cs="Times New Roman"/>
          <w:sz w:val="22"/>
          <w:lang w:val="es-CO" w:eastAsia="es-CO"/>
        </w:rPr>
      </w:pPr>
    </w:p>
    <w:p w:rsidR="003B57CC" w:rsidRPr="00C43A2D" w:rsidRDefault="003B57CC" w:rsidP="00405213">
      <w:pPr>
        <w:pStyle w:val="ListParagraph"/>
        <w:numPr>
          <w:ilvl w:val="1"/>
          <w:numId w:val="6"/>
        </w:numPr>
        <w:rPr>
          <w:rFonts w:eastAsia="Times New Roman" w:cs="Times New Roman"/>
          <w:sz w:val="22"/>
          <w:lang w:val="es-CO" w:eastAsia="es-CO"/>
        </w:rPr>
      </w:pPr>
      <w:r w:rsidRPr="00C43A2D">
        <w:rPr>
          <w:rFonts w:eastAsia="Times New Roman" w:cs="Times New Roman"/>
          <w:color w:val="000000"/>
          <w:sz w:val="22"/>
          <w:lang w:val="es-CO" w:eastAsia="es-CO"/>
        </w:rPr>
        <w:t xml:space="preserve">CP1. </w:t>
      </w:r>
      <w:r w:rsidR="00F657FE" w:rsidRPr="00C43A2D">
        <w:rPr>
          <w:rFonts w:eastAsia="Times New Roman" w:cs="Times New Roman"/>
          <w:color w:val="000000"/>
          <w:sz w:val="22"/>
          <w:lang w:val="es-CO" w:eastAsia="es-CO"/>
        </w:rPr>
        <w:t>Selección de fincas y e</w:t>
      </w:r>
      <w:r w:rsidRPr="00C43A2D">
        <w:rPr>
          <w:rFonts w:eastAsia="Times New Roman" w:cs="Times New Roman"/>
          <w:color w:val="000000"/>
          <w:sz w:val="22"/>
          <w:lang w:val="es-CO" w:eastAsia="es-CO"/>
        </w:rPr>
        <w:t>valuaciones biofísicas: En los tres países, se establecerán durante los dos primeros años parcelas experimentales en una granja familiar representativa y/o en condiciones de estación experimental, contrastando el manejo de riego convencional con dos alternativas de AWD. En cada sitio de estudio se monitorearán indicadores de producción (rendimiento), impactos ambientales (emisiones de gases de efecto invernadero) y eficiencia en el uso de recursos en la finca (eficiencia de uso de agua y nutrientes). En el tercer año del proyecto se establecerán áreas de validación a escala comercial en campos de productores innovadores, de las propu</w:t>
      </w:r>
      <w:r w:rsidR="00B51972" w:rsidRPr="00C43A2D">
        <w:rPr>
          <w:rFonts w:eastAsia="Times New Roman" w:cs="Times New Roman"/>
          <w:color w:val="000000"/>
          <w:sz w:val="22"/>
          <w:lang w:val="es-CO" w:eastAsia="es-CO"/>
        </w:rPr>
        <w:t>estas tecnológicas que surjan en</w:t>
      </w:r>
      <w:r w:rsidRPr="00C43A2D">
        <w:rPr>
          <w:rFonts w:eastAsia="Times New Roman" w:cs="Times New Roman"/>
          <w:color w:val="000000"/>
          <w:sz w:val="22"/>
          <w:lang w:val="es-CO" w:eastAsia="es-CO"/>
        </w:rPr>
        <w:t xml:space="preserve"> los dos primeros años. En dichas validaciones se medirán consumos de agua, costos, rendimientos y calidad</w:t>
      </w:r>
      <w:r w:rsidR="00B51972" w:rsidRPr="00C43A2D">
        <w:rPr>
          <w:rFonts w:eastAsia="Times New Roman" w:cs="Times New Roman"/>
          <w:color w:val="000000"/>
          <w:sz w:val="22"/>
          <w:lang w:val="es-CO" w:eastAsia="es-CO"/>
        </w:rPr>
        <w:t xml:space="preserve"> de grano</w:t>
      </w:r>
      <w:r w:rsidRPr="00C43A2D">
        <w:rPr>
          <w:rFonts w:eastAsia="Times New Roman" w:cs="Times New Roman"/>
          <w:color w:val="000000"/>
          <w:sz w:val="22"/>
          <w:lang w:val="es-CO" w:eastAsia="es-CO"/>
        </w:rPr>
        <w:t>, los cuales servirán para confirmar la validez de las propuestas técnicas a la vez de crear un ámbito ideal para la difusión y comunicación a otros productores.</w:t>
      </w:r>
    </w:p>
    <w:p w:rsidR="00C43A2D" w:rsidRPr="00C43A2D" w:rsidRDefault="00C43A2D" w:rsidP="00C43A2D">
      <w:pPr>
        <w:pStyle w:val="ListParagraph"/>
        <w:numPr>
          <w:ilvl w:val="0"/>
          <w:numId w:val="0"/>
        </w:numPr>
        <w:ind w:left="1008"/>
        <w:rPr>
          <w:rFonts w:eastAsia="Times New Roman" w:cs="Times New Roman"/>
          <w:sz w:val="22"/>
          <w:lang w:val="es-CO" w:eastAsia="es-CO"/>
        </w:rPr>
      </w:pPr>
    </w:p>
    <w:p w:rsidR="003B57CC" w:rsidRPr="00C43A2D" w:rsidRDefault="003B57CC" w:rsidP="00405213">
      <w:pPr>
        <w:pStyle w:val="ListParagraph"/>
        <w:numPr>
          <w:ilvl w:val="1"/>
          <w:numId w:val="6"/>
        </w:numPr>
        <w:rPr>
          <w:rFonts w:eastAsia="Times New Roman" w:cs="Times New Roman"/>
          <w:sz w:val="22"/>
          <w:lang w:val="es-CO" w:eastAsia="es-CO"/>
        </w:rPr>
      </w:pPr>
      <w:r w:rsidRPr="00C43A2D">
        <w:rPr>
          <w:rFonts w:eastAsia="Times New Roman" w:cs="Times New Roman"/>
          <w:color w:val="000000"/>
          <w:sz w:val="22"/>
          <w:lang w:val="es-CO" w:eastAsia="es-CO"/>
        </w:rPr>
        <w:t>CP2. Evaluaciones económicas</w:t>
      </w:r>
      <w:r w:rsidR="00F657FE" w:rsidRPr="00C43A2D">
        <w:rPr>
          <w:rFonts w:eastAsia="Times New Roman" w:cs="Times New Roman"/>
          <w:color w:val="000000"/>
          <w:sz w:val="22"/>
          <w:lang w:val="es-CO" w:eastAsia="es-CO"/>
        </w:rPr>
        <w:t xml:space="preserve"> de los sitios monitoreados</w:t>
      </w:r>
      <w:r w:rsidRPr="00C43A2D">
        <w:rPr>
          <w:rFonts w:eastAsia="Times New Roman" w:cs="Times New Roman"/>
          <w:color w:val="000000"/>
          <w:sz w:val="22"/>
          <w:lang w:val="es-CO" w:eastAsia="es-CO"/>
        </w:rPr>
        <w:t xml:space="preserve">: En cada uno de los países del proyecto, se llevará a cabo un análisis de línea de base para determinar las condiciones de referencia locales de las regiones evaluadas (es decir, la producción agrícola actual, la gestión del agua y la economía del sistema de producción, incluidas las estrategias de vida y el uso de recursos humanos y de producción). Esta línea de base servirá de contraste para el análisis costo/beneficio que se realizará para las prácticas mejoradas de riego que surjan de los resultados del proyecto. El análisis económico requiere </w:t>
      </w:r>
      <w:r w:rsidR="00B51972" w:rsidRPr="00C43A2D">
        <w:rPr>
          <w:rFonts w:eastAsia="Times New Roman" w:cs="Times New Roman"/>
          <w:color w:val="000000"/>
          <w:sz w:val="22"/>
          <w:lang w:val="es-CO" w:eastAsia="es-CO"/>
        </w:rPr>
        <w:t>una descripción detallada de</w:t>
      </w:r>
      <w:r w:rsidRPr="00C43A2D">
        <w:rPr>
          <w:rFonts w:eastAsia="Times New Roman" w:cs="Times New Roman"/>
          <w:color w:val="000000"/>
          <w:sz w:val="22"/>
          <w:lang w:val="es-CO" w:eastAsia="es-CO"/>
        </w:rPr>
        <w:t xml:space="preserve"> las familias </w:t>
      </w:r>
      <w:r w:rsidR="00B51972" w:rsidRPr="00C43A2D">
        <w:rPr>
          <w:rFonts w:eastAsia="Times New Roman" w:cs="Times New Roman"/>
          <w:color w:val="000000"/>
          <w:sz w:val="22"/>
          <w:lang w:val="es-CO" w:eastAsia="es-CO"/>
        </w:rPr>
        <w:t xml:space="preserve">productoras de arroz para que obtengan </w:t>
      </w:r>
      <w:r w:rsidRPr="00C43A2D">
        <w:rPr>
          <w:rFonts w:eastAsia="Times New Roman" w:cs="Times New Roman"/>
          <w:color w:val="000000"/>
          <w:sz w:val="22"/>
          <w:lang w:val="es-CO" w:eastAsia="es-CO"/>
        </w:rPr>
        <w:t xml:space="preserve">recomendaciones </w:t>
      </w:r>
      <w:r w:rsidR="00B51972" w:rsidRPr="00C43A2D">
        <w:rPr>
          <w:rFonts w:eastAsia="Times New Roman" w:cs="Times New Roman"/>
          <w:color w:val="000000"/>
          <w:sz w:val="22"/>
          <w:lang w:val="es-CO" w:eastAsia="es-CO"/>
        </w:rPr>
        <w:t>especificas</w:t>
      </w:r>
      <w:r w:rsidRPr="00C43A2D">
        <w:rPr>
          <w:rFonts w:eastAsia="Times New Roman" w:cs="Times New Roman"/>
          <w:color w:val="000000"/>
          <w:sz w:val="22"/>
          <w:lang w:val="es-CO" w:eastAsia="es-CO"/>
        </w:rPr>
        <w:t>. E</w:t>
      </w:r>
      <w:r w:rsidR="00B51972" w:rsidRPr="00C43A2D">
        <w:rPr>
          <w:rFonts w:eastAsia="Times New Roman" w:cs="Times New Roman"/>
          <w:color w:val="000000"/>
          <w:sz w:val="22"/>
          <w:lang w:val="es-CO" w:eastAsia="es-CO"/>
        </w:rPr>
        <w:t xml:space="preserve">n este proyecto se diseñara </w:t>
      </w:r>
      <w:r w:rsidRPr="00C43A2D">
        <w:rPr>
          <w:rFonts w:eastAsia="Times New Roman" w:cs="Times New Roman"/>
          <w:color w:val="000000"/>
          <w:sz w:val="22"/>
          <w:lang w:val="es-CO" w:eastAsia="es-CO"/>
        </w:rPr>
        <w:t xml:space="preserve">un modelo de hoja de cálculo para los costos y beneficios y con la utilización de las simulaciones de Monte Carlo y análisis de sensibilidad, evaluar la idoneidad económica y los límites a la conveniencia de adoptar mejores prácticas de cultivo de arroz. </w:t>
      </w:r>
    </w:p>
    <w:p w:rsidR="003B57CC" w:rsidRPr="003B57CC" w:rsidRDefault="003B57CC" w:rsidP="003B57CC">
      <w:pPr>
        <w:jc w:val="left"/>
        <w:rPr>
          <w:rFonts w:eastAsia="Times New Roman" w:cs="Times New Roman"/>
          <w:sz w:val="22"/>
          <w:lang w:val="es-CO" w:eastAsia="es-CO"/>
        </w:rPr>
      </w:pPr>
    </w:p>
    <w:p w:rsidR="003B57CC" w:rsidRPr="00C43A2D" w:rsidRDefault="003B57CC" w:rsidP="00405213">
      <w:pPr>
        <w:pStyle w:val="ListParagraph"/>
        <w:numPr>
          <w:ilvl w:val="1"/>
          <w:numId w:val="6"/>
        </w:numPr>
        <w:rPr>
          <w:rFonts w:eastAsia="Times New Roman" w:cs="Times New Roman"/>
          <w:color w:val="000000"/>
          <w:sz w:val="22"/>
          <w:lang w:val="es-CO" w:eastAsia="es-CO"/>
        </w:rPr>
      </w:pPr>
      <w:r w:rsidRPr="00C43A2D">
        <w:rPr>
          <w:rFonts w:eastAsia="Times New Roman" w:cs="Times New Roman"/>
          <w:color w:val="000000"/>
          <w:sz w:val="22"/>
          <w:lang w:val="es-CO" w:eastAsia="es-CO"/>
        </w:rPr>
        <w:t>CP3. Aná</w:t>
      </w:r>
      <w:r w:rsidR="00D07834" w:rsidRPr="00C43A2D">
        <w:rPr>
          <w:rFonts w:eastAsia="Times New Roman" w:cs="Times New Roman"/>
          <w:color w:val="000000"/>
          <w:sz w:val="22"/>
          <w:lang w:val="es-CO" w:eastAsia="es-CO"/>
        </w:rPr>
        <w:t>lisis y síntesis de escenarios: los  ensayos de AWD estarán limitados a las condiciones específicas de las localidades seleccionadas por cada país, donde se aplicarán diferentes modelos para asegurar que los resultados sean representativos y confiables para la formulación de recomendaciones apropiadas para las familias productores de arroz en las regiones. Para ello se utilizará el modelo DNDC - arroz que hace simulación no sólo de la producción, sino también los ciclos biogeoquímicos que producen CH</w:t>
      </w:r>
      <w:r w:rsidR="00D07834" w:rsidRPr="00C43A2D">
        <w:rPr>
          <w:rFonts w:eastAsia="Times New Roman" w:cs="Times New Roman"/>
          <w:color w:val="000000"/>
          <w:sz w:val="22"/>
          <w:vertAlign w:val="subscript"/>
          <w:lang w:val="es-CO" w:eastAsia="es-CO"/>
        </w:rPr>
        <w:t>4</w:t>
      </w:r>
      <w:r w:rsidR="00D07834" w:rsidRPr="00C43A2D">
        <w:rPr>
          <w:rFonts w:eastAsia="Times New Roman" w:cs="Times New Roman"/>
          <w:color w:val="000000"/>
          <w:sz w:val="22"/>
          <w:lang w:val="es-CO" w:eastAsia="es-CO"/>
        </w:rPr>
        <w:t xml:space="preserve"> y N</w:t>
      </w:r>
      <w:r w:rsidR="00D07834" w:rsidRPr="00C43A2D">
        <w:rPr>
          <w:rFonts w:eastAsia="Times New Roman" w:cs="Times New Roman"/>
          <w:color w:val="000000"/>
          <w:sz w:val="22"/>
          <w:vertAlign w:val="subscript"/>
          <w:lang w:val="es-CO" w:eastAsia="es-CO"/>
        </w:rPr>
        <w:t>2</w:t>
      </w:r>
      <w:r w:rsidR="00D07834" w:rsidRPr="00C43A2D">
        <w:rPr>
          <w:rFonts w:eastAsia="Times New Roman" w:cs="Times New Roman"/>
          <w:color w:val="000000"/>
          <w:sz w:val="22"/>
          <w:lang w:val="es-CO" w:eastAsia="es-CO"/>
        </w:rPr>
        <w:t>O. Los resultados de la producción serán comparados con los resultados obtenidos en el modelo CERES-Rice y los resultados de gases de efecto invernadero generados por Cool Farm Tool (CFT).</w:t>
      </w:r>
    </w:p>
    <w:p w:rsidR="0090686D" w:rsidRPr="003B57CC" w:rsidRDefault="0090686D" w:rsidP="00D07834">
      <w:pPr>
        <w:spacing w:before="120" w:after="120"/>
        <w:rPr>
          <w:rFonts w:eastAsia="Times New Roman" w:cs="Times New Roman"/>
          <w:sz w:val="22"/>
          <w:lang w:val="es-CO" w:eastAsia="es-CO"/>
        </w:rPr>
      </w:pPr>
    </w:p>
    <w:p w:rsidR="003B57CC" w:rsidRPr="00C43A2D" w:rsidRDefault="003B57CC" w:rsidP="00405213">
      <w:pPr>
        <w:pStyle w:val="ListParagraph"/>
        <w:numPr>
          <w:ilvl w:val="1"/>
          <w:numId w:val="6"/>
        </w:numPr>
        <w:rPr>
          <w:rFonts w:eastAsia="Times New Roman" w:cs="Times New Roman"/>
          <w:color w:val="000000"/>
          <w:sz w:val="22"/>
          <w:lang w:val="es-CO" w:eastAsia="es-CO"/>
        </w:rPr>
      </w:pPr>
      <w:r w:rsidRPr="00C43A2D">
        <w:rPr>
          <w:rFonts w:eastAsia="Times New Roman" w:cs="Times New Roman"/>
          <w:color w:val="000000"/>
          <w:sz w:val="22"/>
          <w:lang w:val="es-CO" w:eastAsia="es-CO"/>
        </w:rPr>
        <w:t xml:space="preserve">CP4. Estrategias de comunicación y divulgación: Las organizaciones locales asociadas en los tres países serán responsables de difundir el progreso del proyecto a los técnicos </w:t>
      </w:r>
      <w:r w:rsidRPr="00C43A2D">
        <w:rPr>
          <w:rFonts w:eastAsia="Times New Roman" w:cs="Times New Roman"/>
          <w:color w:val="000000"/>
          <w:sz w:val="22"/>
          <w:lang w:val="es-CO" w:eastAsia="es-CO"/>
        </w:rPr>
        <w:lastRenderedPageBreak/>
        <w:t>y productores de las diferentes regiones arroceras, aprovechando los sitios de ejecución de</w:t>
      </w:r>
      <w:r w:rsidR="00F657FE" w:rsidRPr="00C43A2D">
        <w:rPr>
          <w:rFonts w:eastAsia="Times New Roman" w:cs="Times New Roman"/>
          <w:color w:val="000000"/>
          <w:sz w:val="22"/>
          <w:lang w:val="es-CO" w:eastAsia="es-CO"/>
        </w:rPr>
        <w:t xml:space="preserve">l proyectos. </w:t>
      </w:r>
      <w:r w:rsidRPr="00C43A2D">
        <w:rPr>
          <w:rFonts w:eastAsia="Times New Roman" w:cs="Times New Roman"/>
          <w:color w:val="000000"/>
          <w:sz w:val="22"/>
          <w:lang w:val="es-CO" w:eastAsia="es-CO"/>
        </w:rPr>
        <w:t>El proyecto desarrollará materiales de capacitación para los agricultores y apoyará los eventos de capacitación, aprendizaje, intercambio y difusión. A nivel regional e internacional, CIAT, FLAR y GRA utilizarán el proyecto para difundir las estrategias y resultados del proyecto en otros países de América Latina y otros continentes. Una de las actividades finales del proyecto será la organización de un tal</w:t>
      </w:r>
      <w:r w:rsidR="00F657FE" w:rsidRPr="00C43A2D">
        <w:rPr>
          <w:rFonts w:eastAsia="Times New Roman" w:cs="Times New Roman"/>
          <w:color w:val="000000"/>
          <w:sz w:val="22"/>
          <w:lang w:val="es-CO" w:eastAsia="es-CO"/>
        </w:rPr>
        <w:t>ler internacional para este fin con el propósito de probar, adaptar y difundir las practicas de manejo de AWD propuestas.</w:t>
      </w:r>
    </w:p>
    <w:p w:rsidR="00D07834" w:rsidRPr="003B57CC" w:rsidRDefault="00D07834" w:rsidP="003B57CC">
      <w:pPr>
        <w:spacing w:before="120" w:after="120"/>
        <w:ind w:left="720"/>
        <w:rPr>
          <w:rFonts w:eastAsia="Times New Roman" w:cs="Times New Roman"/>
          <w:sz w:val="22"/>
          <w:lang w:val="es-CO" w:eastAsia="es-CO"/>
        </w:rPr>
      </w:pPr>
    </w:p>
    <w:p w:rsidR="003B57CC" w:rsidRPr="003B57CC" w:rsidRDefault="003B57CC" w:rsidP="003B57CC">
      <w:pPr>
        <w:spacing w:before="120" w:after="120"/>
        <w:ind w:left="360"/>
        <w:rPr>
          <w:rFonts w:eastAsia="Times New Roman" w:cs="Times New Roman"/>
          <w:sz w:val="22"/>
          <w:lang w:val="es-CO" w:eastAsia="es-CO"/>
        </w:rPr>
      </w:pPr>
      <w:r w:rsidRPr="003B57CC">
        <w:rPr>
          <w:rFonts w:eastAsia="Times New Roman" w:cs="Times New Roman"/>
          <w:b/>
          <w:bCs/>
          <w:color w:val="000000"/>
          <w:sz w:val="22"/>
          <w:lang w:val="es-CO" w:eastAsia="es-CO"/>
        </w:rPr>
        <w:t xml:space="preserve">Actividades y Metodología </w:t>
      </w:r>
    </w:p>
    <w:p w:rsidR="003B57CC" w:rsidRPr="00C43A2D" w:rsidRDefault="00DB7F42" w:rsidP="00405213">
      <w:pPr>
        <w:pStyle w:val="ListParagraph"/>
        <w:numPr>
          <w:ilvl w:val="1"/>
          <w:numId w:val="6"/>
        </w:numPr>
        <w:rPr>
          <w:rFonts w:eastAsia="Times New Roman" w:cs="Times New Roman"/>
          <w:color w:val="000000"/>
          <w:sz w:val="22"/>
          <w:lang w:val="es-CO" w:eastAsia="es-CO"/>
        </w:rPr>
      </w:pPr>
      <w:r w:rsidRPr="00C43A2D">
        <w:rPr>
          <w:rFonts w:eastAsia="Times New Roman" w:cs="Times New Roman"/>
          <w:color w:val="000000"/>
          <w:sz w:val="22"/>
          <w:lang w:val="es-CO" w:eastAsia="es-CO"/>
        </w:rPr>
        <w:t xml:space="preserve">CP1: </w:t>
      </w:r>
      <w:r w:rsidR="003B57CC" w:rsidRPr="00C43A2D">
        <w:rPr>
          <w:rFonts w:eastAsia="Times New Roman" w:cs="Times New Roman"/>
          <w:color w:val="000000"/>
          <w:sz w:val="22"/>
          <w:lang w:val="es-CO" w:eastAsia="es-CO"/>
        </w:rPr>
        <w:t>las evaluaciones de campo se realizarán en fincas en las regiones de Saldaña (Colombia), Ferreñafe (Perú), Parral (Chile), todos ellos sitios caracterizados por la agricultura familiar de comunidades de arroz irrigado. En cada sitio experimental serán caracterizadas las propiedades físico-químicas de los suelos antes del establecimiento de los ensayos como línea base y se llevará a cabo un experimento para evaluar el desempeño agronómico, económico y ambiental de dos tratamientos AWD y un tratamiento de riego convencional (</w:t>
      </w:r>
      <w:r w:rsidRPr="00C43A2D">
        <w:rPr>
          <w:rFonts w:eastAsia="Times New Roman" w:cs="Times New Roman"/>
          <w:color w:val="000000"/>
          <w:sz w:val="22"/>
          <w:lang w:val="es-CO" w:eastAsia="es-CO"/>
        </w:rPr>
        <w:t xml:space="preserve">inundación continua - CF) </w:t>
      </w:r>
      <w:r w:rsidR="003B57CC" w:rsidRPr="00C43A2D">
        <w:rPr>
          <w:rFonts w:eastAsia="Times New Roman" w:cs="Times New Roman"/>
          <w:color w:val="000000"/>
          <w:sz w:val="22"/>
          <w:lang w:val="es-CO" w:eastAsia="es-CO"/>
        </w:rPr>
        <w:t>durante dos temporadas de cultivo de arroz. Los socios nacionales colaborarán con los agricultores para evaluar el desempeño del sistema mediante la calificación del rendimiento de grano, los costos de producción y las mediciones de gases  de efecto invernadero (GEI) por la t</w:t>
      </w:r>
      <w:r w:rsidR="00D36A95" w:rsidRPr="00C43A2D">
        <w:rPr>
          <w:rFonts w:eastAsia="Times New Roman" w:cs="Times New Roman"/>
          <w:color w:val="000000"/>
          <w:sz w:val="22"/>
          <w:lang w:val="es-CO" w:eastAsia="es-CO"/>
        </w:rPr>
        <w:t>écnica de cámaras estáticas (n=12</w:t>
      </w:r>
      <w:r w:rsidR="003B57CC" w:rsidRPr="00C43A2D">
        <w:rPr>
          <w:rFonts w:eastAsia="Times New Roman" w:cs="Times New Roman"/>
          <w:color w:val="000000"/>
          <w:sz w:val="22"/>
          <w:lang w:val="es-CO" w:eastAsia="es-CO"/>
        </w:rPr>
        <w:t xml:space="preserve">). Durante todo el ensayo serán monitoreadas la cantidad de agua aplicada en cada parcela, profundidad del agua, potencial de agua matricial y los niveles de estrés hídrico en las plantas. Durante el tercer año del proyecto, la validación se hará a escala de campo en al menos dos agricultores innovadores de cada país. Estos trabajos de campo permitirán confirmar la validez de las nuevas propuestas de manejo del riego y proveerán una excelente plataforma para la extensión y comunicación a otros agricultores. Las áreas de validación no se extenderán más del 10% de la superficie total del agricultor, para mantener bajo el riesgo de algún inconveniente productivo. </w:t>
      </w:r>
      <w:r w:rsidR="00D36A95" w:rsidRPr="00C43A2D">
        <w:rPr>
          <w:rFonts w:eastAsia="Times New Roman" w:cs="Times New Roman"/>
          <w:color w:val="000000"/>
          <w:sz w:val="22"/>
          <w:lang w:val="es-CO" w:eastAsia="es-CO"/>
        </w:rPr>
        <w:t>Durante las evaluaciones a escala de campo (etapa de validación), el objetivo será demostrar que las técnicas de manejo AWD permiten una importante reducción de consumo de agua (y quizás costos) sin afectar el rendimiento del cultivo.</w:t>
      </w:r>
    </w:p>
    <w:p w:rsidR="00D36A95" w:rsidRPr="003B57CC" w:rsidRDefault="00D36A95" w:rsidP="003B57CC">
      <w:pPr>
        <w:spacing w:before="120" w:after="120"/>
        <w:ind w:left="750"/>
        <w:rPr>
          <w:rFonts w:eastAsia="Times New Roman" w:cs="Times New Roman"/>
          <w:sz w:val="22"/>
          <w:lang w:val="es-CO" w:eastAsia="es-CO"/>
        </w:rPr>
      </w:pPr>
    </w:p>
    <w:p w:rsidR="00B05D96" w:rsidRPr="00C43A2D" w:rsidRDefault="00776D99" w:rsidP="00405213">
      <w:pPr>
        <w:pStyle w:val="ListParagraph"/>
        <w:numPr>
          <w:ilvl w:val="1"/>
          <w:numId w:val="6"/>
        </w:numPr>
        <w:rPr>
          <w:rFonts w:eastAsia="Times New Roman" w:cs="Times New Roman"/>
          <w:color w:val="000000"/>
          <w:sz w:val="22"/>
          <w:lang w:val="es-CO" w:eastAsia="es-CO"/>
        </w:rPr>
      </w:pPr>
      <w:r w:rsidRPr="00C43A2D">
        <w:rPr>
          <w:rFonts w:eastAsia="Times New Roman" w:cs="Times New Roman"/>
          <w:color w:val="000000"/>
          <w:sz w:val="22"/>
          <w:lang w:val="es-CO" w:eastAsia="es-CO"/>
        </w:rPr>
        <w:t>CP2:</w:t>
      </w:r>
      <w:r w:rsidR="003B57CC" w:rsidRPr="00C43A2D">
        <w:rPr>
          <w:rFonts w:eastAsia="Times New Roman" w:cs="Times New Roman"/>
          <w:color w:val="000000"/>
          <w:sz w:val="22"/>
          <w:lang w:val="es-CO" w:eastAsia="es-CO"/>
        </w:rPr>
        <w:t xml:space="preserve"> Dentro de los elementos para la toma de decisiones y para demostrar los beneficios que los resultados del proyecto propone lograr, se realizará una Evaluación Técnico – Económica de las estrategias, donde se calcularán las variaciones de costos que provocan los distintos tratamientos en relación a la línea de base y también el impacto en rendimiento, calidad de grano e ingresos del productor. Los datos serán </w:t>
      </w:r>
      <w:r w:rsidRPr="00C43A2D">
        <w:rPr>
          <w:rFonts w:eastAsia="Times New Roman" w:cs="Times New Roman"/>
          <w:color w:val="000000"/>
          <w:sz w:val="22"/>
          <w:lang w:val="es-CO" w:eastAsia="es-CO"/>
        </w:rPr>
        <w:t>recolectados por medio de encuestas simples en cada país</w:t>
      </w:r>
      <w:r w:rsidR="003B57CC" w:rsidRPr="00C43A2D">
        <w:rPr>
          <w:rFonts w:eastAsia="Times New Roman" w:cs="Times New Roman"/>
          <w:color w:val="000000"/>
          <w:sz w:val="22"/>
          <w:lang w:val="es-CO" w:eastAsia="es-CO"/>
        </w:rPr>
        <w:t>.</w:t>
      </w:r>
      <w:r w:rsidRPr="00C43A2D">
        <w:rPr>
          <w:rFonts w:eastAsia="Times New Roman" w:cs="Times New Roman"/>
          <w:color w:val="000000"/>
          <w:sz w:val="22"/>
          <w:lang w:val="es-CO" w:eastAsia="es-CO"/>
        </w:rPr>
        <w:t xml:space="preserve"> </w:t>
      </w:r>
      <w:r w:rsidR="003B57CC" w:rsidRPr="00C43A2D">
        <w:rPr>
          <w:rFonts w:eastAsia="Times New Roman" w:cs="Times New Roman"/>
          <w:color w:val="000000"/>
          <w:sz w:val="22"/>
          <w:lang w:val="es-CO" w:eastAsia="es-CO"/>
        </w:rPr>
        <w:t>Luego para poder determinar las mejores medidas aplicables, desde un punto de vista económico, se realizará una Evaluación Económico comparativa entre la situación Ex-ante versus la situación Ex-post. Para el análisis económico, se trabajará con flujos de ingresos y costos en un mismo horizonte de tiempo, donde aplicarán técnicas econométricas para la determinación de indicadores que permitan comparar cada medida con las otras. Dentro de los indicadores económicos a obtener, se cuentan los siguientes: Valor Actual Neto – VAN, Tasa Interna de Retorno  (TIR), Relación Beneficio  - Costo (B/C), Relación Costo – Beneficio (C/B), Período de Recuperaci</w:t>
      </w:r>
      <w:r w:rsidR="00B05D96" w:rsidRPr="00C43A2D">
        <w:rPr>
          <w:rFonts w:eastAsia="Times New Roman" w:cs="Times New Roman"/>
          <w:color w:val="000000"/>
          <w:sz w:val="22"/>
          <w:lang w:val="es-CO" w:eastAsia="es-CO"/>
        </w:rPr>
        <w:t>ón de la Inversión, entre otros.</w:t>
      </w:r>
    </w:p>
    <w:p w:rsidR="003B57CC" w:rsidRPr="00B05D96" w:rsidRDefault="003B57CC" w:rsidP="00B05D96">
      <w:pPr>
        <w:pStyle w:val="ListParagraph"/>
        <w:numPr>
          <w:ilvl w:val="0"/>
          <w:numId w:val="0"/>
        </w:numPr>
        <w:ind w:left="1080"/>
        <w:rPr>
          <w:rFonts w:eastAsia="Times New Roman" w:cs="Times New Roman"/>
          <w:color w:val="000000"/>
          <w:sz w:val="22"/>
          <w:lang w:val="es-CO" w:eastAsia="es-CO"/>
        </w:rPr>
      </w:pPr>
      <w:r w:rsidRPr="00B05D96">
        <w:rPr>
          <w:rFonts w:eastAsia="Times New Roman" w:cs="Times New Roman"/>
          <w:color w:val="000000"/>
          <w:sz w:val="22"/>
          <w:lang w:val="es-CO" w:eastAsia="es-CO"/>
        </w:rPr>
        <w:t xml:space="preserve">   </w:t>
      </w:r>
    </w:p>
    <w:p w:rsidR="00503899" w:rsidRPr="00C43A2D" w:rsidRDefault="00503899" w:rsidP="00405213">
      <w:pPr>
        <w:pStyle w:val="ListParagraph"/>
        <w:numPr>
          <w:ilvl w:val="1"/>
          <w:numId w:val="6"/>
        </w:numPr>
        <w:rPr>
          <w:rFonts w:eastAsia="Times New Roman" w:cs="Times New Roman"/>
          <w:sz w:val="22"/>
          <w:lang w:val="es-CO" w:eastAsia="es-CO"/>
        </w:rPr>
      </w:pPr>
      <w:r w:rsidRPr="00C43A2D">
        <w:rPr>
          <w:rFonts w:eastAsia="Times New Roman" w:cs="Times New Roman"/>
          <w:color w:val="000000"/>
          <w:sz w:val="22"/>
          <w:lang w:val="es-CO" w:eastAsia="es-CO"/>
        </w:rPr>
        <w:lastRenderedPageBreak/>
        <w:t>El modelo de hoja de cálculo económico utilizará un enfoque genérico de costo-beneficio que puede adaptarse fácilmente a las nuevas condiciones. El modelo se transformará en una herramienta que las partes interesadas podrán utilizar para evaluar las diferentes opciones de AWD y decidir cuál es la que mejor se ajusta a la situación económica de casos específicos. El modelo utilizará el análisis de sensibilidad y las simulaciones de Monte Carlo para probar la solidez de las recomendaciones económicas.</w:t>
      </w:r>
    </w:p>
    <w:p w:rsidR="00776D99" w:rsidRPr="003B57CC" w:rsidRDefault="00776D99" w:rsidP="00503899">
      <w:pPr>
        <w:spacing w:before="120" w:after="120"/>
        <w:rPr>
          <w:rFonts w:eastAsia="Times New Roman" w:cs="Times New Roman"/>
          <w:sz w:val="22"/>
          <w:lang w:val="es-CO" w:eastAsia="es-CO"/>
        </w:rPr>
      </w:pPr>
    </w:p>
    <w:p w:rsidR="003B57CC" w:rsidRDefault="005F1670" w:rsidP="00405213">
      <w:pPr>
        <w:pStyle w:val="ListParagraph"/>
        <w:numPr>
          <w:ilvl w:val="1"/>
          <w:numId w:val="6"/>
        </w:numPr>
        <w:rPr>
          <w:rFonts w:eastAsia="Times New Roman" w:cs="Times New Roman"/>
          <w:color w:val="000000"/>
          <w:sz w:val="22"/>
          <w:lang w:val="es-CO" w:eastAsia="es-CO"/>
        </w:rPr>
      </w:pPr>
      <w:r w:rsidRPr="00C43A2D">
        <w:rPr>
          <w:rFonts w:eastAsia="Times New Roman" w:cs="Times New Roman"/>
          <w:color w:val="000000"/>
          <w:sz w:val="22"/>
          <w:lang w:val="es-CO" w:eastAsia="es-CO"/>
        </w:rPr>
        <w:t>CP3</w:t>
      </w:r>
      <w:r w:rsidR="003B57CC" w:rsidRPr="00C43A2D">
        <w:rPr>
          <w:rFonts w:eastAsia="Times New Roman" w:cs="Times New Roman"/>
          <w:color w:val="000000"/>
          <w:sz w:val="22"/>
          <w:lang w:val="es-CO" w:eastAsia="es-CO"/>
        </w:rPr>
        <w:t>: los resultados obtenidos en CP1 se utilizarán para la validación del</w:t>
      </w:r>
      <w:r w:rsidRPr="00C43A2D">
        <w:rPr>
          <w:rFonts w:eastAsia="Times New Roman" w:cs="Times New Roman"/>
          <w:color w:val="000000"/>
          <w:sz w:val="22"/>
          <w:lang w:val="es-CO" w:eastAsia="es-CO"/>
        </w:rPr>
        <w:t xml:space="preserve"> modelo DNDC y Ceres-Rice, en las</w:t>
      </w:r>
      <w:r w:rsidR="003B57CC" w:rsidRPr="00C43A2D">
        <w:rPr>
          <w:rFonts w:eastAsia="Times New Roman" w:cs="Times New Roman"/>
          <w:color w:val="000000"/>
          <w:sz w:val="22"/>
          <w:lang w:val="es-CO" w:eastAsia="es-CO"/>
        </w:rPr>
        <w:t xml:space="preserve"> condiciones experimentales de cada país, </w:t>
      </w:r>
      <w:r w:rsidRPr="00C43A2D">
        <w:rPr>
          <w:rFonts w:eastAsia="Times New Roman" w:cs="Times New Roman"/>
          <w:color w:val="000000"/>
          <w:sz w:val="22"/>
          <w:lang w:val="es-CO" w:eastAsia="es-CO"/>
        </w:rPr>
        <w:t>los cuales permitirán la</w:t>
      </w:r>
      <w:r w:rsidR="003B57CC" w:rsidRPr="00C43A2D">
        <w:rPr>
          <w:rFonts w:eastAsia="Times New Roman" w:cs="Times New Roman"/>
          <w:color w:val="000000"/>
          <w:sz w:val="22"/>
          <w:lang w:val="es-CO" w:eastAsia="es-CO"/>
        </w:rPr>
        <w:t xml:space="preserve"> estimación de las emisiones de GEI y del rendimiento del cultivo bajo otras condiciones climáticas y del suelo. Los parámetros de entrada necesarios para el modelo DNDC y Ceres-Rice, que incluyen las variables climáticas, la textura del suelo, la gestión del agua, la fertilización y otros detalles de manejo del cultivo serán recolectados bajo CP1.</w:t>
      </w:r>
      <w:r w:rsidRPr="00C43A2D">
        <w:rPr>
          <w:rFonts w:eastAsia="Times New Roman" w:cs="Times New Roman"/>
          <w:color w:val="000000"/>
          <w:sz w:val="22"/>
          <w:lang w:val="es-CO" w:eastAsia="es-CO"/>
        </w:rPr>
        <w:t xml:space="preserve"> Los datos </w:t>
      </w:r>
      <w:r w:rsidR="00A414B9" w:rsidRPr="00C43A2D">
        <w:rPr>
          <w:rFonts w:eastAsia="Times New Roman" w:cs="Times New Roman"/>
          <w:color w:val="000000"/>
          <w:sz w:val="22"/>
          <w:lang w:val="es-CO" w:eastAsia="es-CO"/>
        </w:rPr>
        <w:t>primarios de los que no se disponga como la biomasa de raíces</w:t>
      </w:r>
      <w:r w:rsidR="00AA6004" w:rsidRPr="00C43A2D">
        <w:rPr>
          <w:rFonts w:eastAsia="Times New Roman" w:cs="Times New Roman"/>
          <w:color w:val="000000"/>
          <w:sz w:val="22"/>
          <w:lang w:val="es-CO" w:eastAsia="es-CO"/>
        </w:rPr>
        <w:t>,</w:t>
      </w:r>
      <w:r w:rsidR="00A414B9" w:rsidRPr="00C43A2D">
        <w:rPr>
          <w:rFonts w:eastAsia="Times New Roman" w:cs="Times New Roman"/>
          <w:color w:val="000000"/>
          <w:sz w:val="22"/>
          <w:lang w:val="es-CO" w:eastAsia="es-CO"/>
        </w:rPr>
        <w:t xml:space="preserve"> se </w:t>
      </w:r>
      <w:r w:rsidR="00827F47" w:rsidRPr="00C43A2D">
        <w:rPr>
          <w:rFonts w:eastAsia="Times New Roman" w:cs="Times New Roman"/>
          <w:color w:val="000000"/>
          <w:sz w:val="22"/>
          <w:lang w:val="es-CO" w:eastAsia="es-CO"/>
        </w:rPr>
        <w:t>estimarán de acuerdo a información secundaria</w:t>
      </w:r>
      <w:r w:rsidR="00AA6004" w:rsidRPr="00C43A2D">
        <w:rPr>
          <w:rFonts w:eastAsia="Times New Roman" w:cs="Times New Roman"/>
          <w:color w:val="000000"/>
          <w:sz w:val="22"/>
          <w:lang w:val="es-CO" w:eastAsia="es-CO"/>
        </w:rPr>
        <w:t xml:space="preserve"> recolectada</w:t>
      </w:r>
      <w:r w:rsidR="00827F47" w:rsidRPr="00C43A2D">
        <w:rPr>
          <w:rFonts w:eastAsia="Times New Roman" w:cs="Times New Roman"/>
          <w:color w:val="000000"/>
          <w:sz w:val="22"/>
          <w:lang w:val="es-CO" w:eastAsia="es-CO"/>
        </w:rPr>
        <w:t xml:space="preserve">. </w:t>
      </w:r>
      <w:r w:rsidR="003B57CC" w:rsidRPr="00C43A2D">
        <w:rPr>
          <w:rFonts w:eastAsia="Times New Roman" w:cs="Times New Roman"/>
          <w:color w:val="000000"/>
          <w:sz w:val="22"/>
          <w:lang w:val="es-CO" w:eastAsia="es-CO"/>
        </w:rPr>
        <w:t xml:space="preserve">La validación del modelo se llevará a cabo comparando la acumulación de biomasa modelada, los rendimientos de grano y los GEI con los medidos en condiciones de campo, en CP1. Los datos recolectados en CP1 y CP2 se utilizarán para cuantificar los impactos ambientales. </w:t>
      </w:r>
    </w:p>
    <w:p w:rsidR="00C43A2D" w:rsidRPr="00C43A2D" w:rsidRDefault="00C43A2D" w:rsidP="00C43A2D">
      <w:pPr>
        <w:pStyle w:val="ListParagraph"/>
        <w:numPr>
          <w:ilvl w:val="0"/>
          <w:numId w:val="0"/>
        </w:numPr>
        <w:ind w:left="1008"/>
        <w:rPr>
          <w:rFonts w:eastAsia="Times New Roman" w:cs="Times New Roman"/>
          <w:color w:val="000000"/>
          <w:sz w:val="22"/>
          <w:lang w:val="es-CO" w:eastAsia="es-CO"/>
        </w:rPr>
      </w:pPr>
    </w:p>
    <w:p w:rsidR="003B57CC" w:rsidRPr="00C36750" w:rsidRDefault="00C36750" w:rsidP="00405213">
      <w:pPr>
        <w:pStyle w:val="ListParagraph"/>
        <w:numPr>
          <w:ilvl w:val="1"/>
          <w:numId w:val="6"/>
        </w:numPr>
        <w:tabs>
          <w:tab w:val="left" w:pos="851"/>
          <w:tab w:val="left" w:pos="1134"/>
        </w:tabs>
        <w:rPr>
          <w:rFonts w:eastAsia="Times New Roman" w:cs="Times New Roman"/>
          <w:color w:val="000000"/>
          <w:sz w:val="22"/>
          <w:lang w:val="es-CO" w:eastAsia="es-CO"/>
        </w:rPr>
      </w:pPr>
      <w:r w:rsidRPr="00C36750">
        <w:rPr>
          <w:rFonts w:eastAsia="Times New Roman" w:cs="Times New Roman"/>
          <w:color w:val="000000"/>
          <w:sz w:val="22"/>
          <w:lang w:val="es-CO" w:eastAsia="es-CO"/>
        </w:rPr>
        <w:t xml:space="preserve">CP4: </w:t>
      </w:r>
      <w:r w:rsidR="003B57CC" w:rsidRPr="00C36750">
        <w:rPr>
          <w:rFonts w:eastAsia="Times New Roman" w:cs="Times New Roman"/>
          <w:color w:val="000000"/>
          <w:sz w:val="22"/>
          <w:lang w:val="es-CO" w:eastAsia="es-CO"/>
        </w:rPr>
        <w:t>El proyecto desarrollará materiales de capacitación para los agricultores</w:t>
      </w:r>
      <w:r w:rsidR="006A13FF" w:rsidRPr="00C36750">
        <w:rPr>
          <w:rFonts w:eastAsia="Times New Roman" w:cs="Times New Roman"/>
          <w:color w:val="000000"/>
          <w:sz w:val="22"/>
          <w:lang w:val="es-CO" w:eastAsia="es-CO"/>
        </w:rPr>
        <w:t xml:space="preserve"> y </w:t>
      </w:r>
      <w:r w:rsidR="003B57CC" w:rsidRPr="00C36750">
        <w:rPr>
          <w:rFonts w:eastAsia="Times New Roman" w:cs="Times New Roman"/>
          <w:color w:val="000000"/>
          <w:sz w:val="22"/>
          <w:lang w:val="es-CO" w:eastAsia="es-CO"/>
        </w:rPr>
        <w:t>los utilizará para apoyar los eventos de creación de capacidad, aprendizaje, intercambio y difusión en: a) nivel local para los beneficiarios del proyecto más amplio y las partes interesadas (incluidos los intercambio</w:t>
      </w:r>
      <w:r w:rsidR="006A13FF" w:rsidRPr="00C36750">
        <w:rPr>
          <w:rFonts w:eastAsia="Times New Roman" w:cs="Times New Roman"/>
          <w:color w:val="000000"/>
          <w:sz w:val="22"/>
          <w:lang w:val="es-CO" w:eastAsia="es-CO"/>
        </w:rPr>
        <w:t>s entre los agricultores</w:t>
      </w:r>
      <w:r w:rsidR="003B57CC" w:rsidRPr="00C36750">
        <w:rPr>
          <w:rFonts w:eastAsia="Times New Roman" w:cs="Times New Roman"/>
          <w:color w:val="000000"/>
          <w:sz w:val="22"/>
          <w:lang w:val="es-CO" w:eastAsia="es-CO"/>
        </w:rPr>
        <w:t>); b) a nivel nacional para los Sistemas Nacionales de Inv</w:t>
      </w:r>
      <w:r w:rsidR="00200CB6" w:rsidRPr="00C36750">
        <w:rPr>
          <w:rFonts w:eastAsia="Times New Roman" w:cs="Times New Roman"/>
          <w:color w:val="000000"/>
          <w:sz w:val="22"/>
          <w:lang w:val="es-CO" w:eastAsia="es-CO"/>
        </w:rPr>
        <w:t>estigación y Extensión Agrícola y</w:t>
      </w:r>
      <w:r w:rsidR="003B57CC" w:rsidRPr="00C36750">
        <w:rPr>
          <w:rFonts w:eastAsia="Times New Roman" w:cs="Times New Roman"/>
          <w:color w:val="000000"/>
          <w:sz w:val="22"/>
          <w:lang w:val="es-CO" w:eastAsia="es-CO"/>
        </w:rPr>
        <w:t xml:space="preserve"> los </w:t>
      </w:r>
      <w:r w:rsidR="00200CB6" w:rsidRPr="00C36750">
        <w:rPr>
          <w:rFonts w:eastAsia="Times New Roman" w:cs="Times New Roman"/>
          <w:color w:val="000000"/>
          <w:sz w:val="22"/>
          <w:lang w:val="es-CO" w:eastAsia="es-CO"/>
        </w:rPr>
        <w:t xml:space="preserve">entes </w:t>
      </w:r>
      <w:r w:rsidR="003B57CC" w:rsidRPr="00C36750">
        <w:rPr>
          <w:rFonts w:eastAsia="Times New Roman" w:cs="Times New Roman"/>
          <w:color w:val="000000"/>
          <w:sz w:val="22"/>
          <w:lang w:val="es-CO" w:eastAsia="es-CO"/>
        </w:rPr>
        <w:t>responsables de la formulación de políticas y c) el nivel sur-sur de la región para los beneficiarios y socios del proyecto y otros asociados que apoyan el desarrollo de pequeños agricultores arroceros.</w:t>
      </w:r>
    </w:p>
    <w:p w:rsidR="003B57CC" w:rsidRPr="003B57CC" w:rsidRDefault="003B57CC" w:rsidP="003B57CC">
      <w:pPr>
        <w:spacing w:before="120" w:after="120"/>
        <w:ind w:left="360"/>
        <w:rPr>
          <w:rFonts w:eastAsia="Times New Roman" w:cs="Times New Roman"/>
          <w:sz w:val="22"/>
          <w:lang w:val="es-CO" w:eastAsia="es-CO"/>
        </w:rPr>
      </w:pPr>
      <w:r w:rsidRPr="003B57CC">
        <w:rPr>
          <w:rFonts w:eastAsia="Times New Roman" w:cs="Times New Roman"/>
          <w:b/>
          <w:bCs/>
          <w:color w:val="000000"/>
          <w:sz w:val="22"/>
          <w:lang w:val="es-CO" w:eastAsia="es-CO"/>
        </w:rPr>
        <w:t>Resultados Esperados y Productos a obtener por cada componente</w:t>
      </w:r>
    </w:p>
    <w:p w:rsidR="003B57CC" w:rsidRPr="00C36750" w:rsidRDefault="00963DEC" w:rsidP="00405213">
      <w:pPr>
        <w:pStyle w:val="ListParagraph"/>
        <w:numPr>
          <w:ilvl w:val="1"/>
          <w:numId w:val="6"/>
        </w:numPr>
        <w:rPr>
          <w:rFonts w:eastAsia="Times New Roman" w:cs="Times New Roman"/>
          <w:sz w:val="22"/>
          <w:lang w:val="es-CO" w:eastAsia="es-CO"/>
        </w:rPr>
      </w:pPr>
      <w:r w:rsidRPr="00C36750">
        <w:rPr>
          <w:rFonts w:eastAsia="Times New Roman" w:cs="Times New Roman"/>
          <w:color w:val="000000"/>
          <w:sz w:val="22"/>
          <w:lang w:val="es-CO" w:eastAsia="es-CO"/>
        </w:rPr>
        <w:t xml:space="preserve">CP1. </w:t>
      </w:r>
      <w:r w:rsidR="003B57CC" w:rsidRPr="00C36750">
        <w:rPr>
          <w:rFonts w:eastAsia="Times New Roman" w:cs="Times New Roman"/>
          <w:color w:val="000000"/>
          <w:sz w:val="22"/>
          <w:lang w:val="es-CO" w:eastAsia="es-CO"/>
        </w:rPr>
        <w:t>Los datos generados serán fundamentales para informar las prácticas de los agricultores y alternativas de mitigación validadas técnicamente, con el fin de ser consideradas en las regulaciones locales y las políticas nacionales dirigidas a aumentar la competitividad de las granjas familiares de arroz y reducir simultáneamente su huella de carbono. Las conclusiones de cada sitio darán como resultado una publicación revisada por pares y otro material de comunicación con enfoques por país dirigido a los productores de arroz, a los encargados de formular políticas y otras partes interesadas.</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3B57CC" w:rsidRPr="00C36750" w:rsidRDefault="00963DEC" w:rsidP="00405213">
      <w:pPr>
        <w:pStyle w:val="ListParagraph"/>
        <w:numPr>
          <w:ilvl w:val="1"/>
          <w:numId w:val="6"/>
        </w:numPr>
        <w:rPr>
          <w:rFonts w:eastAsia="Times New Roman" w:cs="Times New Roman"/>
          <w:sz w:val="22"/>
          <w:lang w:val="es-CO" w:eastAsia="es-CO"/>
        </w:rPr>
      </w:pPr>
      <w:r w:rsidRPr="00C36750">
        <w:rPr>
          <w:rFonts w:eastAsia="Times New Roman" w:cs="Times New Roman"/>
          <w:color w:val="000000"/>
          <w:sz w:val="22"/>
          <w:lang w:val="es-CO" w:eastAsia="es-CO"/>
        </w:rPr>
        <w:t>CP2. L</w:t>
      </w:r>
      <w:r w:rsidR="003B57CC" w:rsidRPr="00C36750">
        <w:rPr>
          <w:rFonts w:eastAsia="Times New Roman" w:cs="Times New Roman"/>
          <w:color w:val="000000"/>
          <w:sz w:val="22"/>
          <w:lang w:val="es-CO" w:eastAsia="es-CO"/>
        </w:rPr>
        <w:t>os costos asociados a cada sistema de riego serán registrados y utilizados para evaluar las implicaciones económicas (costos de producción, ingresos, seguridad alimentaria, etc.), asignación de recursos, riesgo asociado a cada sistema, percepciones de los agricultores y cambios en los ingresos netos vinculados a cada sistema. Para una evaluación más sólida de los sistemas de riego, los resultados de las evaluaciones socioeconómicas propuestas se incluirán en las publicaciones revisadas por pares y otros materiales de comunicación propuestos en CP1.</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3B57CC" w:rsidRPr="00C36750" w:rsidRDefault="00963DEC" w:rsidP="00405213">
      <w:pPr>
        <w:pStyle w:val="ListParagraph"/>
        <w:numPr>
          <w:ilvl w:val="1"/>
          <w:numId w:val="6"/>
        </w:numPr>
        <w:rPr>
          <w:rFonts w:eastAsia="Times New Roman" w:cs="Times New Roman"/>
          <w:sz w:val="22"/>
          <w:lang w:val="es-CO" w:eastAsia="es-CO"/>
        </w:rPr>
      </w:pPr>
      <w:r w:rsidRPr="00C36750">
        <w:rPr>
          <w:rFonts w:eastAsia="Times New Roman" w:cs="Times New Roman"/>
          <w:color w:val="000000"/>
          <w:sz w:val="22"/>
          <w:lang w:val="es-CO" w:eastAsia="es-CO"/>
        </w:rPr>
        <w:t>CP3. L</w:t>
      </w:r>
      <w:r w:rsidR="003B57CC" w:rsidRPr="00C36750">
        <w:rPr>
          <w:rFonts w:eastAsia="Times New Roman" w:cs="Times New Roman"/>
          <w:color w:val="000000"/>
          <w:sz w:val="22"/>
          <w:lang w:val="es-CO" w:eastAsia="es-CO"/>
        </w:rPr>
        <w:t>os resultados de las evaluaciones biofísicas y socioeconómicas se utilizarán para validar los modelo DNDC, Ceres-Rice y CFT. Los resultados de estas validaciones se incluirán en una publicación conjunta sintetizando la rentabilidad de los diferentes sistemas de riego bajo diferentes condiciones de suelo y clima.</w:t>
      </w:r>
    </w:p>
    <w:p w:rsidR="003B57CC" w:rsidRPr="00C36750" w:rsidRDefault="00963DEC" w:rsidP="00405213">
      <w:pPr>
        <w:pStyle w:val="ListParagraph"/>
        <w:numPr>
          <w:ilvl w:val="1"/>
          <w:numId w:val="6"/>
        </w:numPr>
        <w:rPr>
          <w:rFonts w:eastAsia="Times New Roman" w:cs="Times New Roman"/>
          <w:sz w:val="22"/>
          <w:lang w:val="es-CO" w:eastAsia="es-CO"/>
        </w:rPr>
      </w:pPr>
      <w:r w:rsidRPr="00C36750">
        <w:rPr>
          <w:rFonts w:eastAsia="Times New Roman" w:cs="Times New Roman"/>
          <w:color w:val="000000"/>
          <w:sz w:val="22"/>
          <w:lang w:val="es-CO" w:eastAsia="es-CO"/>
        </w:rPr>
        <w:lastRenderedPageBreak/>
        <w:t>CP4. L</w:t>
      </w:r>
      <w:r w:rsidR="003B57CC" w:rsidRPr="00C36750">
        <w:rPr>
          <w:rFonts w:eastAsia="Times New Roman" w:cs="Times New Roman"/>
          <w:color w:val="000000"/>
          <w:sz w:val="22"/>
          <w:lang w:val="es-CO" w:eastAsia="es-CO"/>
        </w:rPr>
        <w:t>os resultados del proyecto se presentarán y discutirán en las reuniones anuales del equipo del proyecto. Anticipamos tener al menos una reunión de proyecto por año para discutir los resultados y planes. Todos los datos del proyecto se almacenarán en una base de datos ACCESS donde es accesible para su uso por todos los miembros del proyecto. Además, los resultados se comunicarán a los agricultores y al público en general a través de revistas, blogs y medios de comunicación de las instituciones participantes del proyecto. Al cierre del proyecto se realizarán actividades especiales para difundir sus resultados y un taller internacional para que los mismos alcancen a otros países de la región.</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3B57CC" w:rsidRPr="00C36750" w:rsidRDefault="003B57CC" w:rsidP="00405213">
      <w:pPr>
        <w:pStyle w:val="ListParagraph"/>
        <w:numPr>
          <w:ilvl w:val="1"/>
          <w:numId w:val="6"/>
        </w:numPr>
        <w:rPr>
          <w:rFonts w:eastAsia="Times New Roman" w:cs="Times New Roman"/>
          <w:sz w:val="22"/>
          <w:lang w:val="es-CO" w:eastAsia="es-CO"/>
        </w:rPr>
      </w:pPr>
      <w:r w:rsidRPr="00C36750">
        <w:rPr>
          <w:rFonts w:eastAsia="Times New Roman" w:cs="Times New Roman"/>
          <w:color w:val="000000"/>
          <w:sz w:val="22"/>
          <w:lang w:val="es-CO" w:eastAsia="es-CO"/>
        </w:rPr>
        <w:t>Los datos generados serán documentados en publicaciones revisadas por pares y material de comunicación dirigido a los productores de arroz. Además, los datos generados informarán a los responsables de las políticas sobre el potencial de mitigación del cambio climático de los sistemas arroceros y cómo estos sistemas podrían apoyar a los países regionales para alcanzar sus objetivos de reducción de emisiones en el marco del Acuerdo Climático de París de 2015.</w:t>
      </w:r>
    </w:p>
    <w:p w:rsidR="00E729B2" w:rsidRPr="000B7E0D" w:rsidRDefault="00E729B2" w:rsidP="00E729B2">
      <w:pPr>
        <w:spacing w:before="120" w:after="120"/>
        <w:rPr>
          <w:rFonts w:cs="Times New Roman"/>
        </w:rPr>
      </w:pPr>
    </w:p>
    <w:p w:rsidR="00113D47" w:rsidRPr="000B7E0D" w:rsidRDefault="009A0AD0" w:rsidP="00113D47">
      <w:pPr>
        <w:ind w:left="360"/>
        <w:rPr>
          <w:rFonts w:cs="Times New Roman"/>
          <w:color w:val="0000FF"/>
        </w:rPr>
      </w:pPr>
      <w:r w:rsidRPr="000B7E0D">
        <w:rPr>
          <w:rFonts w:cs="Times New Roman"/>
          <w:b/>
          <w:color w:val="000000" w:themeColor="text1"/>
        </w:rPr>
        <w:t>Gestión del conocimiento:</w:t>
      </w:r>
      <w:r w:rsidRPr="000B7E0D">
        <w:rPr>
          <w:rFonts w:cs="Times New Roman"/>
          <w:color w:val="0000FF"/>
        </w:rPr>
        <w:t xml:space="preserve"> </w:t>
      </w:r>
    </w:p>
    <w:p w:rsidR="00516536" w:rsidRDefault="00516536" w:rsidP="00113D47">
      <w:pPr>
        <w:ind w:left="360"/>
        <w:rPr>
          <w:rFonts w:cs="Times New Roman"/>
          <w:color w:val="0000FF"/>
        </w:rPr>
      </w:pPr>
    </w:p>
    <w:p w:rsidR="00113D47" w:rsidRPr="00C36750" w:rsidRDefault="00E729B2" w:rsidP="00405213">
      <w:pPr>
        <w:pStyle w:val="ListParagraph"/>
        <w:numPr>
          <w:ilvl w:val="1"/>
          <w:numId w:val="6"/>
        </w:numPr>
        <w:rPr>
          <w:rFonts w:ascii="Times" w:hAnsi="Times" w:cs="Times"/>
          <w:color w:val="000000"/>
          <w:sz w:val="22"/>
        </w:rPr>
      </w:pPr>
      <w:r w:rsidRPr="00C36750">
        <w:rPr>
          <w:rFonts w:ascii="Times" w:hAnsi="Times" w:cs="Times"/>
          <w:color w:val="000000"/>
          <w:sz w:val="22"/>
        </w:rPr>
        <w:t>La capacitación de productores líderes y técnicos de campo en las distintas regiones del proyecto será atendida por el CP4 y estos serán los principales promotores de la tecnología hacia el resto de los productores. El país líder (Colombia), incluirá un estudiante de maestría que recibirán capacitación en la recopilación y análisis de datos biofísicos y socioeconómicos para cada uno de los países participantes</w:t>
      </w:r>
      <w:r w:rsidR="00C702C9" w:rsidRPr="00C36750">
        <w:rPr>
          <w:rFonts w:ascii="Times" w:hAnsi="Times" w:cs="Times"/>
          <w:color w:val="000000"/>
          <w:sz w:val="22"/>
        </w:rPr>
        <w:t xml:space="preserve"> con el propósito de implementar los diferentes modelos para el análisis a nivel de escenarios por país</w:t>
      </w:r>
      <w:r w:rsidRPr="00C36750">
        <w:rPr>
          <w:rFonts w:ascii="Times" w:hAnsi="Times" w:cs="Times"/>
          <w:color w:val="000000"/>
          <w:sz w:val="22"/>
        </w:rPr>
        <w:t>. El personal de las instituciones involucradas recibirán entren</w:t>
      </w:r>
      <w:r w:rsidR="00C702C9" w:rsidRPr="00C36750">
        <w:rPr>
          <w:rFonts w:ascii="Times" w:hAnsi="Times" w:cs="Times"/>
          <w:color w:val="000000"/>
          <w:sz w:val="22"/>
        </w:rPr>
        <w:t>amiento sobre los modelos DNDC, Ceres – Rice y Cool Farm Tool</w:t>
      </w:r>
      <w:r w:rsidRPr="00C36750">
        <w:rPr>
          <w:rFonts w:ascii="Times" w:hAnsi="Times" w:cs="Times"/>
          <w:color w:val="000000"/>
          <w:sz w:val="22"/>
        </w:rPr>
        <w:t xml:space="preserve">. La información generada en los diferentes países se publicará en los sitios web de los socios para las personas interesadas en el área de arroz. En Colombia </w:t>
      </w:r>
      <w:r w:rsidR="00C702C9" w:rsidRPr="00C36750">
        <w:rPr>
          <w:rFonts w:ascii="Times" w:hAnsi="Times" w:cs="Times"/>
          <w:color w:val="000000"/>
          <w:sz w:val="22"/>
        </w:rPr>
        <w:t>podrá</w:t>
      </w:r>
      <w:r w:rsidRPr="00C36750">
        <w:rPr>
          <w:rFonts w:ascii="Times" w:hAnsi="Times" w:cs="Times"/>
          <w:color w:val="000000"/>
          <w:sz w:val="22"/>
        </w:rPr>
        <w:t xml:space="preserve"> realizarse</w:t>
      </w:r>
      <w:r w:rsidR="00C702C9" w:rsidRPr="00C36750">
        <w:rPr>
          <w:rFonts w:ascii="Times" w:hAnsi="Times" w:cs="Times"/>
          <w:color w:val="000000"/>
          <w:sz w:val="22"/>
        </w:rPr>
        <w:t xml:space="preserve"> una</w:t>
      </w:r>
      <w:r w:rsidRPr="00C36750">
        <w:rPr>
          <w:rFonts w:ascii="Times" w:hAnsi="Times" w:cs="Times"/>
          <w:color w:val="000000"/>
          <w:sz w:val="22"/>
        </w:rPr>
        <w:t xml:space="preserve"> publicación en la Revista Arroz como medio divulgativo para productores, técnicos y comunidad en general interesados en la producción de arroz. En Perú la Universidad de la Molina junto con INIA - Chile explorarán la posibilidad de hacer uso de su sitio web para llegar a los productores de arroz. Los socios internacionales como GRA, FLAR y CIAT utilizarán sus sitios web para difundir los resultados del proyecto. Los enlaces de las publicaciones resultantes se compartirán en las redes de los asociados. La publicación </w:t>
      </w:r>
      <w:r w:rsidR="00C702C9" w:rsidRPr="00C36750">
        <w:rPr>
          <w:rFonts w:ascii="Times" w:hAnsi="Times" w:cs="Times"/>
          <w:color w:val="000000"/>
          <w:sz w:val="22"/>
        </w:rPr>
        <w:t>científica en revista indexada</w:t>
      </w:r>
      <w:r w:rsidRPr="00C36750">
        <w:rPr>
          <w:rFonts w:ascii="Times" w:hAnsi="Times" w:cs="Times"/>
          <w:color w:val="000000"/>
          <w:sz w:val="22"/>
        </w:rPr>
        <w:t xml:space="preserve"> servirá de referencia para investigadores en general.</w:t>
      </w:r>
    </w:p>
    <w:p w:rsidR="00E729B2" w:rsidRPr="00E729B2" w:rsidRDefault="00E729B2" w:rsidP="00113D47">
      <w:pPr>
        <w:ind w:left="360"/>
        <w:rPr>
          <w:rFonts w:cs="Times New Roman"/>
          <w:color w:val="0000FF"/>
          <w:lang w:val="es-CO"/>
        </w:rPr>
      </w:pPr>
    </w:p>
    <w:p w:rsidR="00113D47" w:rsidRPr="000B7E0D" w:rsidRDefault="009A0AD0" w:rsidP="00113D47">
      <w:pPr>
        <w:ind w:left="360"/>
        <w:rPr>
          <w:rFonts w:cs="Times New Roman"/>
          <w:color w:val="0000FF"/>
        </w:rPr>
      </w:pPr>
      <w:r w:rsidRPr="000B7E0D">
        <w:rPr>
          <w:rFonts w:cs="Times New Roman"/>
          <w:b/>
          <w:color w:val="000000" w:themeColor="text1"/>
        </w:rPr>
        <w:t>Sostenibilidad:</w:t>
      </w:r>
      <w:r w:rsidRPr="000B7E0D">
        <w:rPr>
          <w:rFonts w:cs="Times New Roman"/>
          <w:color w:val="0000FF"/>
        </w:rPr>
        <w:t xml:space="preserve"> </w:t>
      </w:r>
    </w:p>
    <w:p w:rsidR="005600CE" w:rsidRDefault="005600CE" w:rsidP="00113D47">
      <w:pPr>
        <w:ind w:left="360"/>
        <w:rPr>
          <w:rFonts w:cs="Times New Roman"/>
          <w:color w:val="0000FF"/>
        </w:rPr>
      </w:pPr>
    </w:p>
    <w:p w:rsidR="00B56990" w:rsidRDefault="00B56990" w:rsidP="00405213">
      <w:pPr>
        <w:pStyle w:val="NormalWeb"/>
        <w:numPr>
          <w:ilvl w:val="1"/>
          <w:numId w:val="7"/>
        </w:numPr>
        <w:spacing w:before="120" w:beforeAutospacing="0" w:after="120" w:afterAutospacing="0"/>
        <w:jc w:val="both"/>
      </w:pPr>
      <w:r>
        <w:rPr>
          <w:rFonts w:ascii="Times" w:hAnsi="Times" w:cs="Times"/>
          <w:color w:val="000000"/>
          <w:sz w:val="22"/>
          <w:szCs w:val="22"/>
        </w:rPr>
        <w:t xml:space="preserve">Los principales socios en este proyecto son actualmente actores directos en los sectores arroceros de Chile, Colombia y Perú. En Colombia, FEDEARROZ es la institución gremial que agrupa a los productores de arroz, y  que ha fundamentado  un programa de investigación y transferencia de tecnología a nivel nacional, el cual incluye componentes tales como programa de Fitomejoramiento, programa de Fitosanidad y Cambio Climático, investigaciones económicas y el programa de adopción masiva de tecnología AMTEC, en la búsqueda permanente de la competitividad del sector en armonía con el medio ambiente, para lo cual atiende a todos los productores de arroz en el país sin importar el sistema productivo o el tamaño de la producción. En Chile, INIA es la principal institución encargada de realizar investigaciones en el sector agrícola y pecuario y en el caso del arroz </w:t>
      </w:r>
      <w:r>
        <w:rPr>
          <w:rFonts w:ascii="Times" w:hAnsi="Times" w:cs="Times"/>
          <w:color w:val="000000"/>
          <w:sz w:val="22"/>
          <w:szCs w:val="22"/>
        </w:rPr>
        <w:lastRenderedPageBreak/>
        <w:t>es la única institución donde se realiza investigación de genética, agronomía y gestión del cultivo, lo cual es transferido y difundido a los usuarios. La Universidad La Molina, además de fortalecer la capacidad humana a través de la capacitación, está trabajando actualmente con los actores locales del arroz para realizar investigaciones dirigidas a mejorar la eficiencia del uso del nitrógeno y la productividad del arroz. Esta alianza de socios clave del arroz permitirá la continuidad de la investigación dirigida a optimizar el uso del agua y reducir las emisiones de gases de efecto invernadero de los sistemas de producción de arroz.</w:t>
      </w:r>
    </w:p>
    <w:p w:rsidR="00B56990" w:rsidRDefault="00B56990" w:rsidP="00405213">
      <w:pPr>
        <w:pStyle w:val="NormalWeb"/>
        <w:numPr>
          <w:ilvl w:val="1"/>
          <w:numId w:val="7"/>
        </w:numPr>
        <w:spacing w:before="120" w:beforeAutospacing="0" w:after="120" w:afterAutospacing="0"/>
        <w:jc w:val="both"/>
        <w:rPr>
          <w:color w:val="000000"/>
          <w:sz w:val="22"/>
          <w:szCs w:val="22"/>
        </w:rPr>
      </w:pPr>
      <w:r>
        <w:rPr>
          <w:color w:val="000000"/>
          <w:sz w:val="22"/>
          <w:szCs w:val="22"/>
        </w:rPr>
        <w:t xml:space="preserve">Además, otros organismos asociados internacionales que trabajan en el sector del arroz incluyendo el Centro Internacional de Agricultura Tropical (CIAT), El Fondo Latinoamericano para Arroz de Riego (FLAR) y Alianza Global de Investigación para los GEI de la Agricultura  (GRA), proporcionarán experiencia en investigación y plataformas para difundir los resultados del proyecto. La conectividad única de los socios del proyecto dentro del sector regional del arroz garantiza que los conocimientos generados en las prácticas implementadas sean divulgados más allá del área del proyecto y de los países participantes. </w:t>
      </w:r>
    </w:p>
    <w:p w:rsidR="00940DBD" w:rsidRDefault="00940DBD" w:rsidP="00B56990">
      <w:pPr>
        <w:pStyle w:val="NormalWeb"/>
        <w:spacing w:before="120" w:beforeAutospacing="0" w:after="120" w:afterAutospacing="0"/>
        <w:ind w:left="720"/>
        <w:jc w:val="both"/>
        <w:rPr>
          <w:color w:val="000000"/>
          <w:sz w:val="22"/>
          <w:szCs w:val="22"/>
        </w:rPr>
      </w:pPr>
    </w:p>
    <w:p w:rsidR="00940DBD" w:rsidRDefault="00940DBD" w:rsidP="00B56990">
      <w:pPr>
        <w:pStyle w:val="NormalWeb"/>
        <w:spacing w:before="120" w:beforeAutospacing="0" w:after="120" w:afterAutospacing="0"/>
        <w:ind w:left="720"/>
        <w:jc w:val="both"/>
      </w:pPr>
    </w:p>
    <w:p w:rsidR="00113D47" w:rsidRPr="000B7E0D" w:rsidRDefault="009A0AD0" w:rsidP="00113D47">
      <w:pPr>
        <w:ind w:left="360"/>
        <w:rPr>
          <w:rFonts w:cs="Times New Roman"/>
          <w:color w:val="0000FF"/>
        </w:rPr>
      </w:pPr>
      <w:r w:rsidRPr="000B7E0D">
        <w:rPr>
          <w:rFonts w:cs="Times New Roman"/>
          <w:b/>
          <w:color w:val="000000" w:themeColor="text1"/>
        </w:rPr>
        <w:t>Bienes públicos regionales:</w:t>
      </w:r>
      <w:r w:rsidRPr="000B7E0D">
        <w:rPr>
          <w:rFonts w:cs="Times New Roman"/>
          <w:color w:val="0000FF"/>
        </w:rPr>
        <w:t xml:space="preserve"> </w:t>
      </w:r>
    </w:p>
    <w:p w:rsidR="00940DBD" w:rsidRPr="00523C23" w:rsidRDefault="00940DBD" w:rsidP="00940DBD">
      <w:pPr>
        <w:ind w:left="360"/>
        <w:rPr>
          <w:rFonts w:cs="Times New Roman"/>
          <w:color w:val="0000FF"/>
          <w:lang w:val="es-CO"/>
        </w:rPr>
      </w:pPr>
    </w:p>
    <w:p w:rsidR="0007387F" w:rsidRDefault="0007387F" w:rsidP="00405213">
      <w:pPr>
        <w:pStyle w:val="NormalWeb"/>
        <w:numPr>
          <w:ilvl w:val="1"/>
          <w:numId w:val="7"/>
        </w:numPr>
        <w:spacing w:before="120" w:beforeAutospacing="0" w:after="120" w:afterAutospacing="0"/>
        <w:jc w:val="both"/>
      </w:pPr>
      <w:r>
        <w:rPr>
          <w:color w:val="000000"/>
          <w:sz w:val="22"/>
          <w:szCs w:val="22"/>
        </w:rPr>
        <w:t>Todos los socios del proyecto acuerdan poner todos los productos a disposición del público nacional y regional. Las publicaciones producto de los resultados obtenidos en este proyecto que sean publicados en forma de artículo tanto en una revista científica indexadas, en publicaciones locales o en los sitios de internet de las instituciones participantes del consorcio, serán factibles de protección de la propiedad intelectual. La protección sobre los resultados publicados exigirá hacer referencia a la cita completa correspondiente cuando se utilicen los mismos por terceras personas en forma pública o privada, tanto en medios orales o escritos, en ámbitos académicos, técnicos, gubernamentales o comerciales. Los resultados serán públicos y por lo tanto serán utilizados y apropiados principalmente por investigadores, docentes, y autoridades públicas relacionadas.</w:t>
      </w:r>
    </w:p>
    <w:p w:rsidR="00A5592D" w:rsidRPr="0007387F" w:rsidRDefault="00A5592D" w:rsidP="00113D47">
      <w:pPr>
        <w:ind w:left="360"/>
        <w:rPr>
          <w:rFonts w:cs="Times New Roman"/>
          <w:color w:val="0000FF"/>
          <w:lang w:val="es-CO"/>
        </w:rPr>
      </w:pPr>
    </w:p>
    <w:p w:rsidR="00113D47" w:rsidRPr="0007387F" w:rsidRDefault="00113D47" w:rsidP="00113D47">
      <w:pPr>
        <w:ind w:left="360"/>
        <w:rPr>
          <w:rFonts w:cs="Times New Roman"/>
          <w:color w:val="0000FF"/>
          <w:lang w:val="es-CO"/>
        </w:rPr>
      </w:pPr>
    </w:p>
    <w:p w:rsidR="00B51B58" w:rsidRPr="00523C23" w:rsidRDefault="009A0AD0" w:rsidP="00113D47">
      <w:pPr>
        <w:ind w:left="360"/>
        <w:rPr>
          <w:rFonts w:cs="Times New Roman"/>
          <w:b/>
          <w:color w:val="000000" w:themeColor="text1"/>
          <w:lang w:val="es-CO"/>
        </w:rPr>
      </w:pPr>
      <w:r w:rsidRPr="00523C23">
        <w:rPr>
          <w:rFonts w:cs="Times New Roman"/>
          <w:b/>
          <w:color w:val="000000" w:themeColor="text1"/>
          <w:lang w:val="es-CO"/>
        </w:rPr>
        <w:t>Impactos ambiental y social:</w:t>
      </w:r>
    </w:p>
    <w:p w:rsidR="0007387F" w:rsidRPr="00523C23" w:rsidRDefault="0007387F" w:rsidP="00113D47">
      <w:pPr>
        <w:ind w:left="360"/>
        <w:rPr>
          <w:rFonts w:cs="Times New Roman"/>
          <w:b/>
          <w:color w:val="000000" w:themeColor="text1"/>
          <w:lang w:val="es-CO"/>
        </w:rPr>
      </w:pPr>
    </w:p>
    <w:p w:rsidR="007F061C" w:rsidRPr="00C36750" w:rsidRDefault="0007387F" w:rsidP="00405213">
      <w:pPr>
        <w:pStyle w:val="ListParagraph"/>
        <w:numPr>
          <w:ilvl w:val="1"/>
          <w:numId w:val="7"/>
        </w:numPr>
        <w:rPr>
          <w:sz w:val="22"/>
        </w:rPr>
      </w:pPr>
      <w:r w:rsidRPr="00C36750">
        <w:rPr>
          <w:sz w:val="22"/>
        </w:rPr>
        <w:t xml:space="preserve">El riego intermitente </w:t>
      </w:r>
      <w:r w:rsidRPr="00C36750">
        <w:rPr>
          <w:color w:val="000000"/>
          <w:sz w:val="22"/>
        </w:rPr>
        <w:t>es una tecnología que ofrece distintos beneficios que favorecen la adopción y utilización de esta tecnología por los agricultores de arroz en los países participantes del proyecto y probablemente a otros paises de Latinoamerica. Los resultados del mismo serán fundamentales para la validación técnica y económica que proporcionarán información cuantitativa y objetiva de sus beneficios y por consiguiente que favorezca la curva de adopción de la tecnología entre los agricultores regionales, reduciendo los impactos ambientales asociados a la alta demanda de agua y las emisiones de gases de efecto invernadero de los sistemas de producción de arroz. Por otro lado la reducción del uso del agua aumentará el ingreso de los agricultores a través de una disminución en los costos asociados con el riego o el aumento del área que puede ser irrigada con los limitados recursos hídricos. El aumento de la resiliencia de los agricultores al cambio climático y a la variabilidad climática, a través de una mayor productividad y disponibilidad del agua, implica que AWD contribuirá al crecimiento económico, al desarrollo nacional y la seguridad alimentaria, incluso en un futuro más cálido y más seco.</w:t>
      </w:r>
    </w:p>
    <w:p w:rsidR="00F96929" w:rsidRPr="00523C23" w:rsidRDefault="00F96929" w:rsidP="00F96929">
      <w:pPr>
        <w:rPr>
          <w:lang w:val="es-CO"/>
        </w:rPr>
      </w:pPr>
    </w:p>
    <w:p w:rsidR="00DF72A9" w:rsidRPr="00B05D96" w:rsidRDefault="00652C81" w:rsidP="00405213">
      <w:pPr>
        <w:pStyle w:val="ListParagraph"/>
        <w:numPr>
          <w:ilvl w:val="1"/>
          <w:numId w:val="7"/>
        </w:numPr>
        <w:rPr>
          <w:color w:val="000000"/>
          <w:sz w:val="22"/>
        </w:rPr>
      </w:pPr>
      <w:r w:rsidRPr="00B05D96">
        <w:rPr>
          <w:color w:val="000000"/>
          <w:sz w:val="22"/>
        </w:rPr>
        <w:t xml:space="preserve">En el Anexo IV </w:t>
      </w:r>
      <w:r w:rsidR="00DF72A9" w:rsidRPr="00B05D96">
        <w:rPr>
          <w:color w:val="000000"/>
          <w:sz w:val="22"/>
        </w:rPr>
        <w:t>se presenta el cronograma de implementac</w:t>
      </w:r>
      <w:r w:rsidRPr="00B05D96">
        <w:rPr>
          <w:color w:val="000000"/>
          <w:sz w:val="22"/>
        </w:rPr>
        <w:t xml:space="preserve">ión de esta </w:t>
      </w:r>
      <w:r w:rsidR="00B51B58" w:rsidRPr="00B05D96">
        <w:rPr>
          <w:color w:val="000000"/>
          <w:sz w:val="22"/>
        </w:rPr>
        <w:t>CT</w:t>
      </w:r>
      <w:r w:rsidRPr="00B05D96">
        <w:rPr>
          <w:color w:val="000000"/>
          <w:sz w:val="22"/>
        </w:rPr>
        <w:t>, en el Anexo V un resumen de la evidencia de representación legal y trayectoria de las instituciones, y en el Anexo VI el resumen profesional de los lideres técnicos por instituci</w:t>
      </w:r>
      <w:r w:rsidR="00873E3D" w:rsidRPr="00B05D96">
        <w:rPr>
          <w:color w:val="000000"/>
          <w:sz w:val="22"/>
        </w:rPr>
        <w:t>ó</w:t>
      </w:r>
      <w:r w:rsidRPr="00B05D96">
        <w:rPr>
          <w:color w:val="000000"/>
          <w:sz w:val="22"/>
        </w:rPr>
        <w:t xml:space="preserve">n participante. </w:t>
      </w:r>
    </w:p>
    <w:p w:rsidR="00DF72A9" w:rsidRPr="000B7E0D" w:rsidRDefault="00DF72A9" w:rsidP="009D09A3">
      <w:pPr>
        <w:ind w:left="720"/>
        <w:rPr>
          <w:color w:val="0000FF"/>
        </w:rPr>
      </w:pPr>
    </w:p>
    <w:p w:rsidR="00DA2C6A" w:rsidRPr="00B05D96" w:rsidRDefault="00824F10" w:rsidP="00405213">
      <w:pPr>
        <w:pStyle w:val="ListParagraph"/>
        <w:numPr>
          <w:ilvl w:val="1"/>
          <w:numId w:val="7"/>
        </w:numPr>
        <w:rPr>
          <w:color w:val="000000"/>
          <w:sz w:val="22"/>
        </w:rPr>
      </w:pPr>
      <w:r w:rsidRPr="00B05D96">
        <w:rPr>
          <w:color w:val="000000"/>
          <w:sz w:val="22"/>
        </w:rPr>
        <w:t>El monto total de la operación es por US$800,000, de los cuales FONTAGRO financiará de sus propios fondos un total de US$300,000. El resto de los fondos, US$500,000, corresponde a los aportes de contrapartida en especie de las instituciones participantes. En el Anexo VII se presenta el Plan de Adquisiciones y en el Anexo VIII las cartas de compromiso individual. A continuación se presenta el cuadro de montos máximos por categoría de gasto y el presupuesto consolidado</w:t>
      </w:r>
      <w:r w:rsidR="00383EF2" w:rsidRPr="00B05D96">
        <w:rPr>
          <w:color w:val="000000"/>
          <w:sz w:val="22"/>
        </w:rPr>
        <w:t xml:space="preserve">.  </w:t>
      </w:r>
    </w:p>
    <w:p w:rsidR="00DA2C6A" w:rsidRDefault="00DA2C6A" w:rsidP="00170EEF">
      <w:pPr>
        <w:jc w:val="center"/>
        <w:rPr>
          <w:rFonts w:cs="Times New Roman"/>
          <w:b/>
        </w:rPr>
      </w:pPr>
    </w:p>
    <w:p w:rsidR="00DA2C6A" w:rsidRDefault="00DA2C6A" w:rsidP="00170EEF">
      <w:pPr>
        <w:jc w:val="center"/>
        <w:rPr>
          <w:rFonts w:cs="Times New Roman"/>
          <w:b/>
        </w:rPr>
      </w:pPr>
    </w:p>
    <w:p w:rsidR="00170EEF" w:rsidRPr="00B05D96" w:rsidRDefault="00170EEF" w:rsidP="00170EEF">
      <w:pPr>
        <w:jc w:val="center"/>
        <w:rPr>
          <w:rFonts w:cs="Times New Roman"/>
          <w:b/>
          <w:sz w:val="22"/>
        </w:rPr>
      </w:pPr>
      <w:r w:rsidRPr="00B05D96">
        <w:rPr>
          <w:rFonts w:cs="Times New Roman"/>
          <w:b/>
          <w:sz w:val="22"/>
        </w:rPr>
        <w:t xml:space="preserve">Presupuesto Indicativo </w:t>
      </w:r>
    </w:p>
    <w:p w:rsidR="00383EF2" w:rsidRPr="000B7E0D" w:rsidRDefault="00DA2C6A" w:rsidP="00383EF2">
      <w:pPr>
        <w:rPr>
          <w:color w:val="0000FF"/>
        </w:rPr>
      </w:pPr>
      <w:r w:rsidRPr="00DA2C6A">
        <w:rPr>
          <w:noProof/>
          <w:lang w:val="en-US"/>
        </w:rPr>
        <w:drawing>
          <wp:anchor distT="0" distB="0" distL="114300" distR="114300" simplePos="0" relativeHeight="251658240" behindDoc="0" locked="0" layoutInCell="1" allowOverlap="1" wp14:anchorId="7B36A31A" wp14:editId="24DDC585">
            <wp:simplePos x="0" y="0"/>
            <wp:positionH relativeFrom="margin">
              <wp:align>center</wp:align>
            </wp:positionH>
            <wp:positionV relativeFrom="paragraph">
              <wp:posOffset>164647</wp:posOffset>
            </wp:positionV>
            <wp:extent cx="6986905" cy="1420495"/>
            <wp:effectExtent l="0" t="0" r="444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690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8C5" w:rsidRPr="000B7E0D" w:rsidRDefault="003A18C5" w:rsidP="00AB03E4">
      <w:pPr>
        <w:jc w:val="center"/>
        <w:rPr>
          <w:rFonts w:cs="Times New Roman"/>
        </w:rPr>
      </w:pPr>
    </w:p>
    <w:p w:rsidR="00F6363D" w:rsidRPr="000B7E0D" w:rsidRDefault="00F6363D" w:rsidP="00AB03E4">
      <w:pPr>
        <w:rPr>
          <w:rFonts w:cs="Times New Roman"/>
        </w:rPr>
      </w:pPr>
    </w:p>
    <w:p w:rsidR="00EB1AA8" w:rsidRPr="00B05D96" w:rsidRDefault="00EB1AA8" w:rsidP="00EB1AA8">
      <w:pPr>
        <w:jc w:val="center"/>
        <w:rPr>
          <w:rFonts w:cs="Times New Roman"/>
          <w:b/>
          <w:sz w:val="22"/>
        </w:rPr>
      </w:pPr>
      <w:r w:rsidRPr="00B05D96">
        <w:rPr>
          <w:rFonts w:cs="Times New Roman"/>
          <w:b/>
          <w:sz w:val="22"/>
        </w:rPr>
        <w:t>Cuadro de Montos Máximos por catetoria</w:t>
      </w:r>
    </w:p>
    <w:p w:rsidR="00217366" w:rsidRPr="000B7E0D" w:rsidRDefault="00217366" w:rsidP="00EB1AA8">
      <w:pPr>
        <w:jc w:val="center"/>
        <w:rPr>
          <w:rFonts w:cs="Times New Roman"/>
          <w:b/>
        </w:rPr>
      </w:pPr>
    </w:p>
    <w:p w:rsidR="008C2F96" w:rsidRPr="000B7E0D" w:rsidRDefault="008C2F96" w:rsidP="00EB1AA8">
      <w:pPr>
        <w:jc w:val="center"/>
        <w:rPr>
          <w:rFonts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779"/>
        <w:gridCol w:w="986"/>
      </w:tblGrid>
      <w:tr w:rsidR="00EB1AA8" w:rsidRPr="00DA2C6A" w:rsidTr="00DA2C6A">
        <w:trPr>
          <w:trHeight w:val="20"/>
          <w:jc w:val="center"/>
        </w:trPr>
        <w:tc>
          <w:tcPr>
            <w:tcW w:w="0" w:type="auto"/>
            <w:shd w:val="clear" w:color="auto" w:fill="auto"/>
            <w:noWrap/>
            <w:vAlign w:val="bottom"/>
            <w:hideMark/>
          </w:tcPr>
          <w:p w:rsidR="00EB1AA8" w:rsidRPr="00DA2C6A" w:rsidRDefault="00EB1AA8" w:rsidP="00ED7014">
            <w:pPr>
              <w:jc w:val="left"/>
              <w:rPr>
                <w:rFonts w:eastAsia="Times New Roman" w:cs="Arial"/>
                <w:sz w:val="22"/>
              </w:rPr>
            </w:pPr>
            <w:r w:rsidRPr="00DA2C6A">
              <w:rPr>
                <w:rFonts w:eastAsia="Times New Roman" w:cs="Arial"/>
                <w:sz w:val="22"/>
              </w:rPr>
              <w:t>Monto Total (US$)</w:t>
            </w:r>
          </w:p>
        </w:tc>
        <w:tc>
          <w:tcPr>
            <w:tcW w:w="0" w:type="auto"/>
            <w:shd w:val="clear" w:color="auto" w:fill="auto"/>
            <w:noWrap/>
            <w:vAlign w:val="bottom"/>
            <w:hideMark/>
          </w:tcPr>
          <w:p w:rsidR="00EB1AA8" w:rsidRPr="00DA2C6A" w:rsidRDefault="00EB1AA8" w:rsidP="00ED7014">
            <w:pPr>
              <w:jc w:val="left"/>
              <w:rPr>
                <w:rFonts w:eastAsia="Times New Roman" w:cs="Arial"/>
                <w:sz w:val="22"/>
              </w:rPr>
            </w:pPr>
          </w:p>
        </w:tc>
        <w:tc>
          <w:tcPr>
            <w:tcW w:w="0" w:type="auto"/>
            <w:shd w:val="clear" w:color="auto" w:fill="auto"/>
            <w:noWrap/>
            <w:vAlign w:val="bottom"/>
            <w:hideMark/>
          </w:tcPr>
          <w:p w:rsidR="00DA2C6A" w:rsidRPr="00DA2C6A" w:rsidRDefault="00DA2C6A" w:rsidP="00ED7014">
            <w:pPr>
              <w:jc w:val="left"/>
              <w:rPr>
                <w:rFonts w:eastAsia="Times New Roman" w:cs="Arial"/>
                <w:sz w:val="22"/>
              </w:rPr>
            </w:pPr>
            <w:r>
              <w:rPr>
                <w:rFonts w:eastAsia="Times New Roman" w:cs="Arial"/>
                <w:sz w:val="22"/>
              </w:rPr>
              <w:t>300,000</w:t>
            </w:r>
          </w:p>
        </w:tc>
      </w:tr>
      <w:tr w:rsidR="00EB1AA8" w:rsidRPr="00DA2C6A" w:rsidTr="00DA2C6A">
        <w:trPr>
          <w:trHeight w:val="20"/>
          <w:jc w:val="center"/>
        </w:trPr>
        <w:tc>
          <w:tcPr>
            <w:tcW w:w="0" w:type="auto"/>
            <w:shd w:val="clear" w:color="auto" w:fill="auto"/>
            <w:noWrap/>
            <w:vAlign w:val="bottom"/>
            <w:hideMark/>
          </w:tcPr>
          <w:p w:rsidR="00EB1AA8" w:rsidRPr="00DA2C6A" w:rsidRDefault="00EB1AA8" w:rsidP="00ED7014">
            <w:pPr>
              <w:jc w:val="left"/>
              <w:rPr>
                <w:rFonts w:eastAsia="Times New Roman" w:cs="Arial"/>
                <w:sz w:val="22"/>
              </w:rPr>
            </w:pPr>
          </w:p>
        </w:tc>
        <w:tc>
          <w:tcPr>
            <w:tcW w:w="0" w:type="auto"/>
            <w:shd w:val="clear" w:color="auto" w:fill="auto"/>
            <w:noWrap/>
            <w:vAlign w:val="bottom"/>
            <w:hideMark/>
          </w:tcPr>
          <w:p w:rsidR="00EB1AA8" w:rsidRPr="00DA2C6A" w:rsidRDefault="00EB1AA8" w:rsidP="00ED7014">
            <w:pPr>
              <w:jc w:val="left"/>
              <w:rPr>
                <w:rFonts w:eastAsia="Times New Roman" w:cs="Arial"/>
                <w:sz w:val="22"/>
              </w:rPr>
            </w:pPr>
          </w:p>
        </w:tc>
        <w:tc>
          <w:tcPr>
            <w:tcW w:w="0" w:type="auto"/>
            <w:shd w:val="clear" w:color="auto" w:fill="auto"/>
            <w:noWrap/>
            <w:vAlign w:val="bottom"/>
            <w:hideMark/>
          </w:tcPr>
          <w:p w:rsidR="00EB1AA8" w:rsidRPr="00DA2C6A" w:rsidRDefault="00EB1AA8" w:rsidP="00ED7014">
            <w:pPr>
              <w:jc w:val="left"/>
              <w:rPr>
                <w:rFonts w:eastAsia="Times New Roman" w:cs="Arial"/>
                <w:sz w:val="22"/>
              </w:rPr>
            </w:pPr>
          </w:p>
        </w:tc>
      </w:tr>
      <w:tr w:rsidR="00EB1AA8" w:rsidRPr="00DA2C6A" w:rsidTr="00DA2C6A">
        <w:trPr>
          <w:trHeight w:val="20"/>
          <w:jc w:val="center"/>
        </w:trPr>
        <w:tc>
          <w:tcPr>
            <w:tcW w:w="0" w:type="auto"/>
            <w:shd w:val="clear" w:color="000000" w:fill="DCE6F1"/>
            <w:noWrap/>
            <w:vAlign w:val="bottom"/>
            <w:hideMark/>
          </w:tcPr>
          <w:p w:rsidR="00EB1AA8" w:rsidRPr="00DA2C6A" w:rsidRDefault="00EB1AA8" w:rsidP="00ED7014">
            <w:pPr>
              <w:jc w:val="left"/>
              <w:rPr>
                <w:rFonts w:eastAsia="Times New Roman" w:cs="Arial"/>
                <w:sz w:val="22"/>
              </w:rPr>
            </w:pPr>
            <w:r w:rsidRPr="00DA2C6A">
              <w:rPr>
                <w:rFonts w:eastAsia="Times New Roman" w:cs="Arial"/>
                <w:sz w:val="22"/>
              </w:rPr>
              <w:t>Categoría de Gastos</w:t>
            </w:r>
          </w:p>
        </w:tc>
        <w:tc>
          <w:tcPr>
            <w:tcW w:w="0" w:type="auto"/>
            <w:shd w:val="clear" w:color="000000" w:fill="DCE6F1"/>
            <w:noWrap/>
            <w:vAlign w:val="bottom"/>
            <w:hideMark/>
          </w:tcPr>
          <w:p w:rsidR="00EB1AA8" w:rsidRPr="00DA2C6A" w:rsidRDefault="00EB1AA8" w:rsidP="00ED7014">
            <w:pPr>
              <w:jc w:val="center"/>
              <w:rPr>
                <w:rFonts w:eastAsia="Times New Roman" w:cs="Arial"/>
                <w:sz w:val="22"/>
              </w:rPr>
            </w:pPr>
            <w:r w:rsidRPr="00DA2C6A">
              <w:rPr>
                <w:rFonts w:eastAsia="Times New Roman" w:cs="Arial"/>
                <w:sz w:val="22"/>
              </w:rPr>
              <w:t>Hasta:</w:t>
            </w:r>
          </w:p>
        </w:tc>
        <w:tc>
          <w:tcPr>
            <w:tcW w:w="0" w:type="auto"/>
            <w:shd w:val="clear" w:color="auto" w:fill="auto"/>
            <w:noWrap/>
            <w:vAlign w:val="bottom"/>
            <w:hideMark/>
          </w:tcPr>
          <w:p w:rsidR="00EB1AA8" w:rsidRPr="00DA2C6A" w:rsidRDefault="00DA2C6A" w:rsidP="00ED7014">
            <w:pPr>
              <w:jc w:val="left"/>
              <w:rPr>
                <w:rFonts w:eastAsia="Times New Roman" w:cs="Arial"/>
                <w:sz w:val="22"/>
              </w:rPr>
            </w:pPr>
            <w:r>
              <w:rPr>
                <w:rFonts w:eastAsia="Times New Roman" w:cs="Arial"/>
                <w:sz w:val="22"/>
              </w:rPr>
              <w:t>$</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01. Consultores y Especialistas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60%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180,000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02. Bienes y Servicios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30%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90,000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03. Materiales e Insumos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40%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120,000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04. Viajes y Viáticos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30%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90,000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05. Capacitación</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20%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60,000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06. Diseminación y Manejo del Conocimiento</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20%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60,000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07. Gastos Administrativos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10%</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30,000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08. Imprevistos</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5%</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15,000 </w:t>
            </w:r>
          </w:p>
        </w:tc>
      </w:tr>
      <w:tr w:rsidR="00DA2C6A" w:rsidRPr="00DA2C6A" w:rsidTr="00DA2C6A">
        <w:trPr>
          <w:trHeight w:val="20"/>
          <w:jc w:val="center"/>
        </w:trPr>
        <w:tc>
          <w:tcPr>
            <w:tcW w:w="0" w:type="auto"/>
            <w:shd w:val="clear" w:color="000000" w:fill="FFFFFF"/>
            <w:noWrap/>
            <w:vAlign w:val="bottom"/>
            <w:hideMark/>
          </w:tcPr>
          <w:p w:rsidR="00DA2C6A" w:rsidRPr="00DA2C6A" w:rsidRDefault="00DA2C6A" w:rsidP="00DA2C6A">
            <w:pPr>
              <w:jc w:val="left"/>
              <w:rPr>
                <w:rFonts w:eastAsia="Times New Roman" w:cs="Arial"/>
                <w:sz w:val="22"/>
              </w:rPr>
            </w:pPr>
            <w:r w:rsidRPr="00DA2C6A">
              <w:rPr>
                <w:rFonts w:eastAsia="Times New Roman" w:cs="Arial"/>
                <w:sz w:val="22"/>
              </w:rPr>
              <w:t>09. Auditoria</w:t>
            </w:r>
          </w:p>
        </w:tc>
        <w:tc>
          <w:tcPr>
            <w:tcW w:w="0" w:type="auto"/>
            <w:shd w:val="clear" w:color="000000" w:fill="FFFFFF"/>
            <w:noWrap/>
            <w:vAlign w:val="bottom"/>
            <w:hideMark/>
          </w:tcPr>
          <w:p w:rsidR="00DA2C6A" w:rsidRPr="00DA2C6A" w:rsidRDefault="00DA2C6A" w:rsidP="00DA2C6A">
            <w:pPr>
              <w:jc w:val="center"/>
              <w:rPr>
                <w:rFonts w:eastAsia="Times New Roman" w:cs="Arial"/>
                <w:sz w:val="22"/>
              </w:rPr>
            </w:pPr>
            <w:r w:rsidRPr="00DA2C6A">
              <w:rPr>
                <w:rFonts w:eastAsia="Times New Roman" w:cs="Arial"/>
                <w:sz w:val="22"/>
              </w:rPr>
              <w:t>5%</w:t>
            </w:r>
          </w:p>
        </w:tc>
        <w:tc>
          <w:tcPr>
            <w:tcW w:w="0" w:type="auto"/>
            <w:shd w:val="clear" w:color="auto" w:fill="auto"/>
            <w:noWrap/>
            <w:hideMark/>
          </w:tcPr>
          <w:p w:rsidR="00DA2C6A" w:rsidRPr="00DA2C6A" w:rsidRDefault="00DA2C6A" w:rsidP="00DA2C6A">
            <w:pPr>
              <w:jc w:val="left"/>
              <w:rPr>
                <w:rFonts w:eastAsia="Times New Roman" w:cs="Arial"/>
                <w:sz w:val="22"/>
              </w:rPr>
            </w:pPr>
            <w:r w:rsidRPr="00DA2C6A">
              <w:rPr>
                <w:sz w:val="22"/>
              </w:rPr>
              <w:t xml:space="preserve"> 15,000 </w:t>
            </w:r>
          </w:p>
        </w:tc>
      </w:tr>
    </w:tbl>
    <w:p w:rsidR="00EB1AA8" w:rsidRPr="000B7E0D" w:rsidRDefault="00EB1AA8" w:rsidP="00AB03E4">
      <w:pPr>
        <w:rPr>
          <w:rFonts w:cs="Times New Roman"/>
        </w:rPr>
      </w:pPr>
    </w:p>
    <w:p w:rsidR="00E815BF" w:rsidRPr="00E815BF" w:rsidRDefault="00C41913" w:rsidP="00405213">
      <w:pPr>
        <w:pStyle w:val="Heading1"/>
        <w:numPr>
          <w:ilvl w:val="0"/>
          <w:numId w:val="3"/>
        </w:numPr>
        <w:rPr>
          <w:rFonts w:hint="eastAsia"/>
        </w:rPr>
      </w:pPr>
      <w:r w:rsidRPr="000B7E0D">
        <w:rPr>
          <w:rFonts w:ascii="Times New Roman" w:hAnsi="Times New Roman" w:cs="Times New Roman"/>
        </w:rPr>
        <w:t>Agencia Ejecutora y E</w:t>
      </w:r>
      <w:r w:rsidR="00944D7A" w:rsidRPr="000B7E0D">
        <w:rPr>
          <w:rFonts w:ascii="Times New Roman" w:hAnsi="Times New Roman" w:cs="Times New Roman"/>
        </w:rPr>
        <w:t xml:space="preserve">structura de </w:t>
      </w:r>
      <w:r w:rsidRPr="000B7E0D">
        <w:rPr>
          <w:rFonts w:ascii="Times New Roman" w:hAnsi="Times New Roman" w:cs="Times New Roman"/>
        </w:rPr>
        <w:t>E</w:t>
      </w:r>
      <w:r w:rsidR="00A139E6" w:rsidRPr="000B7E0D">
        <w:rPr>
          <w:rFonts w:ascii="Times New Roman" w:hAnsi="Times New Roman" w:cs="Times New Roman"/>
        </w:rPr>
        <w:t>jecución</w:t>
      </w:r>
    </w:p>
    <w:p w:rsidR="00411C0C" w:rsidRPr="000B7E0D" w:rsidRDefault="00C41913" w:rsidP="00E815BF">
      <w:pPr>
        <w:pStyle w:val="Heading1"/>
        <w:ind w:left="720"/>
        <w:jc w:val="both"/>
        <w:rPr>
          <w:rFonts w:hint="eastAsia"/>
        </w:rPr>
      </w:pPr>
      <w:r w:rsidRPr="000B7E0D">
        <w:rPr>
          <w:rFonts w:ascii="Times New Roman" w:hAnsi="Times New Roman" w:cs="Times New Roman"/>
        </w:rPr>
        <w:t xml:space="preserve">   </w:t>
      </w:r>
    </w:p>
    <w:p w:rsidR="003E66EF" w:rsidRPr="003E66EF" w:rsidRDefault="00411C0C" w:rsidP="00405213">
      <w:pPr>
        <w:pStyle w:val="NormalWeb"/>
        <w:numPr>
          <w:ilvl w:val="1"/>
          <w:numId w:val="8"/>
        </w:numPr>
        <w:spacing w:before="0" w:beforeAutospacing="0" w:after="0" w:afterAutospacing="0"/>
        <w:jc w:val="both"/>
        <w:rPr>
          <w:sz w:val="22"/>
          <w:szCs w:val="22"/>
        </w:rPr>
      </w:pPr>
      <w:r w:rsidRPr="003E66EF">
        <w:rPr>
          <w:rFonts w:cs="Arial"/>
          <w:sz w:val="22"/>
          <w:szCs w:val="22"/>
        </w:rPr>
        <w:t>Agencia ejecutora. El organismo ejecutor (OE) es</w:t>
      </w:r>
      <w:r w:rsidR="003E66EF">
        <w:rPr>
          <w:rFonts w:cs="Arial"/>
          <w:sz w:val="22"/>
          <w:szCs w:val="22"/>
        </w:rPr>
        <w:t xml:space="preserve"> la</w:t>
      </w:r>
      <w:r w:rsidRPr="003E66EF">
        <w:rPr>
          <w:rFonts w:cs="Arial"/>
          <w:sz w:val="22"/>
          <w:szCs w:val="22"/>
        </w:rPr>
        <w:t xml:space="preserve"> </w:t>
      </w:r>
      <w:r w:rsidR="003E66EF" w:rsidRPr="003E66EF">
        <w:rPr>
          <w:rFonts w:cs="Arial"/>
          <w:sz w:val="22"/>
          <w:szCs w:val="22"/>
        </w:rPr>
        <w:t>Federación Nacional de Arroceros (FEDEARROZ</w:t>
      </w:r>
      <w:r w:rsidRPr="003E66EF">
        <w:rPr>
          <w:rFonts w:cs="Arial"/>
          <w:sz w:val="22"/>
          <w:szCs w:val="22"/>
        </w:rPr>
        <w:t xml:space="preserve">). </w:t>
      </w:r>
      <w:r w:rsidR="003E66EF" w:rsidRPr="003E66EF">
        <w:rPr>
          <w:color w:val="000000"/>
          <w:sz w:val="22"/>
          <w:szCs w:val="22"/>
        </w:rPr>
        <w:t xml:space="preserve">es una asociación de carácter gremial y nacional, compuesta por los </w:t>
      </w:r>
      <w:r w:rsidR="003E66EF" w:rsidRPr="003E66EF">
        <w:rPr>
          <w:color w:val="000000"/>
          <w:sz w:val="22"/>
          <w:szCs w:val="22"/>
        </w:rPr>
        <w:lastRenderedPageBreak/>
        <w:t>productores de arroz que se afilian a ella, la cual ha sido el pilar fundamental para miles de agricultores a lo largo y ancho del país, quienes a través de ésta, han adquirido beneficios en pro de su bienestar y mejor calidad de vida.</w:t>
      </w:r>
    </w:p>
    <w:p w:rsidR="003E66EF" w:rsidRPr="003E66EF" w:rsidRDefault="003E66EF" w:rsidP="003E66EF">
      <w:pPr>
        <w:jc w:val="left"/>
        <w:rPr>
          <w:rFonts w:eastAsia="Times New Roman" w:cs="Times New Roman"/>
          <w:sz w:val="22"/>
          <w:lang w:val="es-CO" w:eastAsia="es-CO"/>
        </w:rPr>
      </w:pPr>
    </w:p>
    <w:p w:rsidR="003E66EF" w:rsidRPr="00C36750" w:rsidRDefault="003E66EF" w:rsidP="00405213">
      <w:pPr>
        <w:pStyle w:val="ListParagraph"/>
        <w:numPr>
          <w:ilvl w:val="1"/>
          <w:numId w:val="8"/>
        </w:numPr>
        <w:rPr>
          <w:rFonts w:eastAsia="Times New Roman" w:cs="Times New Roman"/>
          <w:sz w:val="22"/>
          <w:lang w:val="es-CO" w:eastAsia="es-CO"/>
        </w:rPr>
      </w:pPr>
      <w:r w:rsidRPr="00C36750">
        <w:rPr>
          <w:rFonts w:eastAsia="Times New Roman" w:cs="Times New Roman"/>
          <w:color w:val="000000"/>
          <w:sz w:val="22"/>
          <w:lang w:val="es-CO" w:eastAsia="es-CO"/>
        </w:rPr>
        <w:t>La Federación tiene como objeto la defensa y representación de los agricultores arroceros a nivel nacional. Teniendo como objetivo al productor, promueve su desarrollo tecnológico, buscando su eficiencia económica y mayor competitividad.</w:t>
      </w:r>
    </w:p>
    <w:p w:rsidR="00DD0441" w:rsidRPr="00DD0441" w:rsidRDefault="00DD0441" w:rsidP="00DD0441">
      <w:pPr>
        <w:pStyle w:val="ListParagraph"/>
        <w:numPr>
          <w:ilvl w:val="0"/>
          <w:numId w:val="0"/>
        </w:numPr>
        <w:ind w:left="1008"/>
        <w:rPr>
          <w:rFonts w:eastAsia="Times New Roman" w:cs="Times New Roman"/>
          <w:sz w:val="22"/>
          <w:lang w:val="es-CO" w:eastAsia="es-CO"/>
        </w:rPr>
      </w:pPr>
    </w:p>
    <w:p w:rsidR="00DD0441" w:rsidRPr="00C36750" w:rsidRDefault="00DD0441" w:rsidP="00405213">
      <w:pPr>
        <w:pStyle w:val="ListParagraph"/>
        <w:numPr>
          <w:ilvl w:val="1"/>
          <w:numId w:val="8"/>
        </w:numPr>
        <w:rPr>
          <w:rFonts w:ascii="Times" w:hAnsi="Times" w:cs="Times"/>
          <w:color w:val="000000"/>
          <w:sz w:val="22"/>
        </w:rPr>
      </w:pPr>
      <w:r w:rsidRPr="00C36750">
        <w:rPr>
          <w:rFonts w:ascii="Times" w:hAnsi="Times" w:cs="Times"/>
          <w:color w:val="000000"/>
          <w:sz w:val="22"/>
        </w:rPr>
        <w:t>FEDEARROZ es la entidad gremial de carácter nacional que a través de 20 seccionales y 19 de Comités Seccionales, elegidos por y entre los agricultores arroceros de todas las regiones tradicionalmente productoras de arroz. Cuenta con una amplia y reconocida trayectoria e idoneidad en el país, posee la suficiente infraestructura institucional y física que le permite el adecuado manejo de los recursos y el desarrollo de programas de apoyo a los productores arroceros, así como, contar con una amplia capacidad técnica, administrativa y financiera.</w:t>
      </w:r>
    </w:p>
    <w:p w:rsidR="003E66EF" w:rsidRPr="003E66EF" w:rsidRDefault="003E66EF" w:rsidP="003E66EF">
      <w:pPr>
        <w:jc w:val="left"/>
        <w:rPr>
          <w:rFonts w:eastAsia="Times New Roman" w:cs="Times New Roman"/>
          <w:sz w:val="22"/>
          <w:lang w:val="es-CO" w:eastAsia="es-CO"/>
        </w:rPr>
      </w:pPr>
    </w:p>
    <w:p w:rsidR="003E66EF" w:rsidRPr="00C36750" w:rsidRDefault="003E66EF" w:rsidP="00405213">
      <w:pPr>
        <w:pStyle w:val="ListParagraph"/>
        <w:numPr>
          <w:ilvl w:val="1"/>
          <w:numId w:val="8"/>
        </w:numPr>
        <w:rPr>
          <w:rFonts w:eastAsia="Times New Roman" w:cs="Times New Roman"/>
          <w:sz w:val="22"/>
          <w:lang w:val="es-CO" w:eastAsia="es-CO"/>
        </w:rPr>
      </w:pPr>
      <w:r w:rsidRPr="00C36750">
        <w:rPr>
          <w:rFonts w:eastAsia="Times New Roman" w:cs="Times New Roman"/>
          <w:color w:val="000000"/>
          <w:sz w:val="22"/>
          <w:lang w:val="es-CO" w:eastAsia="es-CO"/>
        </w:rPr>
        <w:t>La investigación de Fedearroz se proyecta dentro del marco de las variables políticas, económicas, sociales y técnicas que inciden en la producción. la cual genera y entrega tecnología a todos los agricultores arroceros de Colombia, sobre la base de mejorar la calidad de vida de las familias productoras de arroz desde aquellas que cosechan el cereal para su consumo diario hasta los productores de escalas productivas mayores, de una forma sostenible lo que plantea la disponibilidad de llevar al cultivo de arroz en el País, de la mano con el cuidado del ambiente.</w:t>
      </w:r>
    </w:p>
    <w:p w:rsidR="003E66EF" w:rsidRPr="003E66EF" w:rsidRDefault="003E66EF" w:rsidP="003E66EF">
      <w:pPr>
        <w:jc w:val="left"/>
        <w:rPr>
          <w:rFonts w:eastAsia="Times New Roman" w:cs="Times New Roman"/>
          <w:sz w:val="22"/>
          <w:lang w:val="es-CO" w:eastAsia="es-CO"/>
        </w:rPr>
      </w:pPr>
    </w:p>
    <w:p w:rsidR="003E66EF" w:rsidRPr="00C36750" w:rsidRDefault="003E66EF" w:rsidP="00405213">
      <w:pPr>
        <w:pStyle w:val="ListParagraph"/>
        <w:numPr>
          <w:ilvl w:val="1"/>
          <w:numId w:val="8"/>
        </w:numPr>
        <w:rPr>
          <w:rFonts w:eastAsia="Times New Roman" w:cs="Times New Roman"/>
          <w:sz w:val="22"/>
          <w:lang w:val="es-CO" w:eastAsia="es-CO"/>
        </w:rPr>
      </w:pPr>
      <w:r w:rsidRPr="00B05D96">
        <w:rPr>
          <w:rFonts w:eastAsia="Times New Roman" w:cs="Times New Roman"/>
          <w:color w:val="000000"/>
          <w:sz w:val="22"/>
          <w:lang w:val="es-CO" w:eastAsia="es-CO"/>
        </w:rPr>
        <w:t>En la actualidad el programa investigación posee un esquema de 4 centros experimentales ubicados en localidades estratégicas dentro del país arrocero con capacidad de albergar principalmente el programa de mejoramiento genético e investigaciones aplicadas en diferentes campos y cuenta en las 20 seccionales y 16 puntos de servicio, que permiten distribuir un equipo técnico y científico con amplia cobertura, oportunidad  y disponibilidad para la atención del agricultor arrocero nacional. En la búsqueda y desarrollo de más y mejor tecnología para el agricultor arrocero, FEDEARROZ participa en convenios con instituciones Nacionales e internacionales que permiten complementar y afianzar los procesos de investigación y transferencia de tecnología.</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3E66EF" w:rsidRPr="00C36750" w:rsidRDefault="003E66EF" w:rsidP="00405213">
      <w:pPr>
        <w:pStyle w:val="ListParagraph"/>
        <w:numPr>
          <w:ilvl w:val="1"/>
          <w:numId w:val="8"/>
        </w:numPr>
        <w:rPr>
          <w:rFonts w:eastAsia="Times New Roman" w:cs="Times New Roman"/>
          <w:sz w:val="22"/>
          <w:lang w:val="es-CO" w:eastAsia="es-CO"/>
        </w:rPr>
      </w:pPr>
      <w:r w:rsidRPr="00C36750">
        <w:rPr>
          <w:rFonts w:eastAsia="Times New Roman" w:cs="Times New Roman"/>
          <w:color w:val="000000"/>
          <w:sz w:val="22"/>
          <w:lang w:val="es-CO" w:eastAsia="es-CO"/>
        </w:rPr>
        <w:t>En Colombia FEDEARROZ desde hace varios años ha implementado un programa de adopción masiva de tecnología para el sector arrocero nacional denominado AMTEC (Adopción Masiva de Tecnología), la cual consiste en transferir de forma conjunta la tecnología para el manejo del cultivo de arroz disponible, con el fin de aumentar la productividad y disminuir los costos de producción por hectárea. El principal objeto del modelo AMTEC es hacer frente a los grandes desafíos de competitividad que plantea la apertura de los mercados y minimizar los impactos del cambio climático sobre la actividad arrocera del país, en un esquema de transferencia de productor a productor, donde el principal difusor de la tecnología son las personas arroceras que se constituyen como modelo para sus colegas.</w:t>
      </w:r>
    </w:p>
    <w:p w:rsidR="003E66EF" w:rsidRPr="003E66EF" w:rsidRDefault="003E66EF" w:rsidP="003E66EF"/>
    <w:p w:rsidR="00411C0C" w:rsidRPr="003E66EF" w:rsidRDefault="00411C0C" w:rsidP="00405213">
      <w:pPr>
        <w:pStyle w:val="ListParagraph"/>
        <w:numPr>
          <w:ilvl w:val="1"/>
          <w:numId w:val="8"/>
        </w:numPr>
        <w:spacing w:line="240" w:lineRule="atLeast"/>
        <w:contextualSpacing w:val="0"/>
        <w:rPr>
          <w:rFonts w:cs="Times New Roman"/>
          <w:sz w:val="22"/>
        </w:rPr>
      </w:pPr>
      <w:r w:rsidRPr="003E66EF">
        <w:rPr>
          <w:rFonts w:cs="Times New Roman"/>
          <w:sz w:val="22"/>
        </w:rPr>
        <w:t xml:space="preserve">El OE será responsable de implementar las actividades descritas previamente, junto con las organizaciones co-ejecutoras y asociadas citadas en el </w:t>
      </w:r>
      <w:r w:rsidRPr="003E66EF">
        <w:rPr>
          <w:rFonts w:cs="Times New Roman"/>
          <w:b/>
          <w:sz w:val="22"/>
        </w:rPr>
        <w:t>Anexo I.</w:t>
      </w:r>
      <w:r w:rsidRPr="003E66EF">
        <w:rPr>
          <w:rFonts w:cs="Times New Roman"/>
          <w:sz w:val="22"/>
        </w:rPr>
        <w:t xml:space="preserve"> El OE administrará los fondos otorgados por el Banco, en su calidad de Administrador de FONTAGRO, y remitirá </w:t>
      </w:r>
      <w:r w:rsidRPr="003E66EF">
        <w:rPr>
          <w:rFonts w:cs="Times New Roman"/>
          <w:sz w:val="22"/>
        </w:rPr>
        <w:lastRenderedPageBreak/>
        <w:t xml:space="preserve">las partidas necesarias a los co-ejecutores para que estos últimos también cumplan con las actividades previstas en su plan de trabajo anual. La gestión administrativa y financiera del proyecto será llevada delante de acuerdo a las políticas del Banco y el Manual de Operaciones de FONTAGRO. </w:t>
      </w:r>
    </w:p>
    <w:p w:rsidR="00411C0C" w:rsidRPr="003E66EF" w:rsidRDefault="00411C0C" w:rsidP="00405213">
      <w:pPr>
        <w:pStyle w:val="ListParagraph"/>
        <w:numPr>
          <w:ilvl w:val="1"/>
          <w:numId w:val="8"/>
        </w:numPr>
        <w:spacing w:line="240" w:lineRule="atLeast"/>
        <w:contextualSpacing w:val="0"/>
        <w:rPr>
          <w:rFonts w:cs="Times New Roman"/>
          <w:sz w:val="22"/>
        </w:rPr>
      </w:pPr>
      <w:r w:rsidRPr="003E66EF">
        <w:rPr>
          <w:rFonts w:cs="Times New Roman"/>
          <w:sz w:val="22"/>
        </w:rPr>
        <w:t xml:space="preserve">El OE será responsable del monitoreo y seguimiento técnico, financiero y administrativo del proyecto. Esta institución será responsable de llevar adelante la implementación del plan técnico y financiero de todo el proyecto. El investigador líder de esta institución, participará anualmente de los Talleres de Seguimiento Técnico de FONTAGRO, en donde presentará los avances técnicos anuales del plan de trabajo realizado por la plataforma. Un detalle de la experiencia de los profesionales técnicos por institución se presenta en el </w:t>
      </w:r>
      <w:r w:rsidRPr="003E66EF">
        <w:rPr>
          <w:rFonts w:cs="Times New Roman"/>
          <w:b/>
          <w:sz w:val="22"/>
        </w:rPr>
        <w:t>Anexo V</w:t>
      </w:r>
      <w:r w:rsidR="00AC325B" w:rsidRPr="003E66EF">
        <w:rPr>
          <w:rFonts w:cs="Times New Roman"/>
          <w:b/>
          <w:sz w:val="22"/>
        </w:rPr>
        <w:t>I</w:t>
      </w:r>
      <w:r w:rsidRPr="003E66EF">
        <w:rPr>
          <w:rFonts w:cs="Times New Roman"/>
          <w:sz w:val="22"/>
        </w:rPr>
        <w:t xml:space="preserve">. </w:t>
      </w:r>
    </w:p>
    <w:p w:rsidR="00411C0C" w:rsidRPr="003E66EF" w:rsidRDefault="00411C0C" w:rsidP="00405213">
      <w:pPr>
        <w:pStyle w:val="ListParagraph"/>
        <w:numPr>
          <w:ilvl w:val="1"/>
          <w:numId w:val="8"/>
        </w:numPr>
        <w:spacing w:after="240" w:line="240" w:lineRule="atLeast"/>
        <w:contextualSpacing w:val="0"/>
        <w:rPr>
          <w:sz w:val="22"/>
        </w:rPr>
      </w:pPr>
      <w:r w:rsidRPr="003E66EF">
        <w:rPr>
          <w:b/>
          <w:sz w:val="22"/>
        </w:rPr>
        <w:t xml:space="preserve">Adquisiciones. </w:t>
      </w:r>
      <w:r w:rsidRPr="003E66EF">
        <w:rPr>
          <w:sz w:val="22"/>
        </w:rPr>
        <w:t>El OE</w:t>
      </w:r>
      <w:r w:rsidRPr="003E66EF">
        <w:rPr>
          <w:b/>
          <w:sz w:val="22"/>
        </w:rPr>
        <w:t xml:space="preserve"> </w:t>
      </w:r>
      <w:r w:rsidRPr="003E66EF">
        <w:rPr>
          <w:sz w:val="22"/>
        </w:rPr>
        <w:t xml:space="preserve">deberá realizar la adquisición de bienes y servicios, observando la Política de Adquisiciones de Bienes y Obras financiadas por el BID (GN-2349-9). Para la contratación de consultores se aplicará la Política para la Selección y Contratación de consultores financiados por el BID (GN-2350-9).  </w:t>
      </w:r>
    </w:p>
    <w:p w:rsidR="00411C0C" w:rsidRPr="003E66EF" w:rsidRDefault="00411C0C" w:rsidP="00405213">
      <w:pPr>
        <w:pStyle w:val="ListParagraph"/>
        <w:numPr>
          <w:ilvl w:val="1"/>
          <w:numId w:val="8"/>
        </w:numPr>
        <w:spacing w:after="240" w:line="240" w:lineRule="atLeast"/>
        <w:contextualSpacing w:val="0"/>
        <w:rPr>
          <w:b/>
          <w:sz w:val="22"/>
        </w:rPr>
      </w:pPr>
      <w:r w:rsidRPr="003E66EF">
        <w:rPr>
          <w:b/>
          <w:sz w:val="22"/>
        </w:rPr>
        <w:t>Sistema de gestión financiera y control interno.</w:t>
      </w:r>
      <w:r w:rsidRPr="003E66EF">
        <w:rPr>
          <w:sz w:val="22"/>
        </w:rPr>
        <w:t xml:space="preserve"> El OE deberá mantener controles internos tendientes a asegurar que: i) los recursos del Proyecto sean utilizados para los propósitos acordados, con especial atención a los principios de economía y eficiencia; ii) las transacciones, decisiones y actividades del Proyecto son debidamente autorizadas y ejecutadas de acuerdo a la normativa y reglamentos aplicables; y iii) las transacciones son apropiadamente documentadas y registradas de forma que puedan producirse informes y reportes oportunos y confiables. La gestión financiera se regirá por lo establecido en la Guía de Gestión Financiera para Proyectos Financiados por el BID (OP-273-6) y el Manual de Operaciones (MOP) de FONTAGRO. </w:t>
      </w:r>
    </w:p>
    <w:p w:rsidR="00411C0C" w:rsidRPr="003E66EF" w:rsidRDefault="00411C0C" w:rsidP="00405213">
      <w:pPr>
        <w:pStyle w:val="ListParagraph"/>
        <w:numPr>
          <w:ilvl w:val="1"/>
          <w:numId w:val="8"/>
        </w:numPr>
        <w:spacing w:after="240" w:line="240" w:lineRule="atLeast"/>
        <w:contextualSpacing w:val="0"/>
        <w:rPr>
          <w:b/>
          <w:sz w:val="22"/>
        </w:rPr>
      </w:pPr>
      <w:r w:rsidRPr="003E66EF">
        <w:rPr>
          <w:b/>
          <w:sz w:val="22"/>
        </w:rPr>
        <w:t xml:space="preserve">Informe de auditoría financiera externa y otros informes. </w:t>
      </w:r>
      <w:r w:rsidRPr="003E66EF">
        <w:rPr>
          <w:sz w:val="22"/>
        </w:rPr>
        <w:t xml:space="preserve">El OE deberá contratar la auditoria externa del proyecto con base a términos de referencia remitidos por la STA. La auditoría abarcará al monto total de la operación (incluyendo el financiamiento y la contrapartida local). Durante la vigencia del proyecto, el OE deberá presentar al Banco y a través de la Secretaría Técnica Administrativa (STA), informes técnicos de avance anuales e informes financieros semestrales. Al finalizar el proyecto, el OE presentará al Banco, a través de la STA, un Informe Técnico Final y un Informe Financiero Final Auditado. Los mismos serán revisados y aprobados por el Banco, a través de la STA. </w:t>
      </w:r>
    </w:p>
    <w:p w:rsidR="00411C0C" w:rsidRPr="003E66EF" w:rsidRDefault="00411C0C" w:rsidP="00405213">
      <w:pPr>
        <w:pStyle w:val="ListParagraph"/>
        <w:numPr>
          <w:ilvl w:val="1"/>
          <w:numId w:val="8"/>
        </w:numPr>
        <w:spacing w:after="240" w:line="240" w:lineRule="atLeast"/>
        <w:contextualSpacing w:val="0"/>
        <w:rPr>
          <w:sz w:val="22"/>
        </w:rPr>
      </w:pPr>
      <w:r w:rsidRPr="003E66EF">
        <w:rPr>
          <w:b/>
          <w:sz w:val="22"/>
        </w:rPr>
        <w:t xml:space="preserve">Resumen de organización de monitoreo y reporte. </w:t>
      </w:r>
      <w:r w:rsidRPr="003E66EF">
        <w:rPr>
          <w:sz w:val="22"/>
        </w:rPr>
        <w:t xml:space="preserve">El OE </w:t>
      </w:r>
      <w:r w:rsidRPr="003E66EF">
        <w:rPr>
          <w:rFonts w:cs="Times New Roman"/>
          <w:sz w:val="22"/>
        </w:rPr>
        <w:t xml:space="preserve">realizará la supervisión y monitoreo de la CT durante la vigencia de la misma. </w:t>
      </w:r>
      <w:r w:rsidRPr="003E66EF">
        <w:rPr>
          <w:sz w:val="22"/>
        </w:rPr>
        <w:t xml:space="preserve">El monitoreo y supervisión del proyecto permitirá dar seguimiento a la evolución del alcance de los productos establecidos en la matriz de resultados de la sección anterior. El monitoreo, supervisión y reporte será conducido de acuerdo con las políticas del Banco y las guías aprobadas por FONTAGRO. </w:t>
      </w:r>
    </w:p>
    <w:p w:rsidR="00411C0C" w:rsidRPr="003E66EF" w:rsidRDefault="00411C0C" w:rsidP="00405213">
      <w:pPr>
        <w:pStyle w:val="ListParagraph"/>
        <w:numPr>
          <w:ilvl w:val="1"/>
          <w:numId w:val="8"/>
        </w:numPr>
        <w:spacing w:after="240" w:line="240" w:lineRule="atLeast"/>
        <w:contextualSpacing w:val="0"/>
        <w:rPr>
          <w:sz w:val="22"/>
        </w:rPr>
      </w:pPr>
      <w:r w:rsidRPr="003E66EF">
        <w:rPr>
          <w:b/>
          <w:sz w:val="22"/>
        </w:rPr>
        <w:t>Desembolsos.</w:t>
      </w:r>
      <w:r w:rsidRPr="003E66EF">
        <w:rPr>
          <w:sz w:val="22"/>
        </w:rPr>
        <w:t xml:space="preserve"> El período de ejecución es de 42 meses y el de desembolso de 48 meses. Los desembolsos serán semestrales, contra la presentación de como mínimo el 80% de gastos ejecutados sobre el saldo de fondos disponibles de los anticipos realizados con anterioridad. </w:t>
      </w:r>
    </w:p>
    <w:p w:rsidR="00411C0C" w:rsidRPr="003E66EF" w:rsidRDefault="00411C0C" w:rsidP="00405213">
      <w:pPr>
        <w:pStyle w:val="ListParagraph"/>
        <w:numPr>
          <w:ilvl w:val="1"/>
          <w:numId w:val="8"/>
        </w:numPr>
        <w:spacing w:line="240" w:lineRule="atLeast"/>
        <w:contextualSpacing w:val="0"/>
        <w:rPr>
          <w:sz w:val="22"/>
        </w:rPr>
      </w:pPr>
      <w:r w:rsidRPr="003E66EF">
        <w:rPr>
          <w:rFonts w:cs="Times New Roman"/>
          <w:sz w:val="22"/>
        </w:rPr>
        <w:t xml:space="preserve">FONTAGRO, como mecanismo de cooperación regional, fomenta que las operaciones se ejecutan a través de plataformas regionales, con el objetivo que los beneficios derivados de ella impacten positivamente en todos los países participantes. En </w:t>
      </w:r>
      <w:r w:rsidRPr="003E66EF">
        <w:rPr>
          <w:rFonts w:cs="Times New Roman"/>
          <w:sz w:val="22"/>
        </w:rPr>
        <w:lastRenderedPageBreak/>
        <w:t>esta oportunidad, la plataforma regional y por tanto los beneficios que esta genere, serán extensivos a las instituciones y países que a continuación se describen:</w:t>
      </w:r>
    </w:p>
    <w:p w:rsidR="00B647AE" w:rsidRPr="003E66EF" w:rsidRDefault="00B647AE" w:rsidP="00B647AE">
      <w:pPr>
        <w:pStyle w:val="ListParagraph"/>
        <w:numPr>
          <w:ilvl w:val="0"/>
          <w:numId w:val="0"/>
        </w:numPr>
        <w:spacing w:line="240" w:lineRule="atLeast"/>
        <w:ind w:left="720"/>
        <w:contextualSpacing w:val="0"/>
        <w:rPr>
          <w:sz w:val="22"/>
        </w:rPr>
      </w:pPr>
      <w:r w:rsidRPr="003E66EF">
        <w:rPr>
          <w:rFonts w:cs="Times New Roman"/>
          <w:sz w:val="22"/>
        </w:rPr>
        <w:t xml:space="preserve">Como organizaciones co-ejecutoras: </w:t>
      </w:r>
    </w:p>
    <w:p w:rsidR="00A352A9" w:rsidRPr="00C36750" w:rsidRDefault="00A352A9" w:rsidP="00405213">
      <w:pPr>
        <w:pStyle w:val="ListParagraph"/>
        <w:numPr>
          <w:ilvl w:val="0"/>
          <w:numId w:val="9"/>
        </w:numPr>
        <w:shd w:val="clear" w:color="auto" w:fill="FFFFFF"/>
        <w:textAlignment w:val="baseline"/>
        <w:rPr>
          <w:rFonts w:ascii="Times" w:eastAsia="Times New Roman" w:hAnsi="Times" w:cs="Times"/>
          <w:color w:val="222222"/>
          <w:sz w:val="22"/>
          <w:lang w:val="es-CO" w:eastAsia="es-CO"/>
        </w:rPr>
      </w:pPr>
      <w:r w:rsidRPr="00C36750">
        <w:rPr>
          <w:rFonts w:ascii="Times" w:eastAsia="Times New Roman" w:hAnsi="Times" w:cs="Times"/>
          <w:b/>
          <w:color w:val="222222"/>
          <w:sz w:val="22"/>
          <w:shd w:val="clear" w:color="auto" w:fill="FFFFFF"/>
          <w:lang w:val="es-CO" w:eastAsia="es-CO"/>
        </w:rPr>
        <w:t>La Universidad Nacional Agraria La Molina - UNALM,</w:t>
      </w:r>
      <w:r w:rsidRPr="00C36750">
        <w:rPr>
          <w:rFonts w:ascii="Times" w:eastAsia="Times New Roman" w:hAnsi="Times" w:cs="Times"/>
          <w:color w:val="222222"/>
          <w:sz w:val="22"/>
          <w:shd w:val="clear" w:color="auto" w:fill="FFFFFF"/>
          <w:lang w:val="es-CO" w:eastAsia="es-CO"/>
        </w:rPr>
        <w:t xml:space="preserve"> de Perú es una entidad pública,  es una comunidad de maestros, alumnos y graduados dedicada a los fines esenciales de una institución universitaria y de investigación. Es autónoma administrativa, económica, normativa, de gobierno y académicamente viene contribuyendo con la formación de profesionales y al desarrollo del país desde el año 1902. Actualmente cuenta con ocho Facultades  y una Escuela de postgrado en la que se especializan en diferentes y maestrías y doctorados. </w:t>
      </w:r>
      <w:r w:rsidR="0097083B" w:rsidRPr="00C36750">
        <w:rPr>
          <w:rFonts w:ascii="Times" w:eastAsia="Times New Roman" w:hAnsi="Times" w:cs="Times"/>
          <w:color w:val="222222"/>
          <w:sz w:val="22"/>
          <w:shd w:val="clear" w:color="auto" w:fill="FFFFFF"/>
          <w:lang w:val="es-CO" w:eastAsia="es-CO"/>
        </w:rPr>
        <w:t>Lidera a nivel nacional las investigaciones agrarias y desarrolla investigaciones en otras áreas del saber. Maneja fondos concursables provenientes de convocatorias nacionales,CONCYTEC, FONDECYT, INCAGRO, FINCYT, PNIA  e internacionales como: CYTED, AECID, IAEA, JICA, FP6, OIMT, AWI, IDRC, CIUF/CUD, VLIR, ZMT, NCI, Centro  para la investigación forestal internacional-CIFOR con financiamiento de la Unión Europea- EU, Centro  para la investigación forestal internacional-CIFOR con financiamiento del Fondo Global Ambiental-GEF, a través de la Organización de las Naciones Unidas para la Alimentación y la Agricultura- FAO. Fondo Internacional de Desarrollo Agrícola –FIDA, Comisión Europea, Programa Horizonte 2020. En los últimos diez años ha gestionado aproximadamente U$600,000 dólares americanos.</w:t>
      </w:r>
    </w:p>
    <w:p w:rsidR="00A352A9" w:rsidRPr="00A352A9" w:rsidRDefault="00A352A9" w:rsidP="00A352A9">
      <w:pPr>
        <w:jc w:val="left"/>
        <w:rPr>
          <w:rFonts w:eastAsia="Times New Roman" w:cs="Times New Roman"/>
          <w:sz w:val="24"/>
          <w:szCs w:val="24"/>
          <w:lang w:val="es-CO" w:eastAsia="es-CO"/>
        </w:rPr>
      </w:pPr>
    </w:p>
    <w:p w:rsidR="00A352A9" w:rsidRPr="00C36750" w:rsidRDefault="00A352A9" w:rsidP="00405213">
      <w:pPr>
        <w:pStyle w:val="ListParagraph"/>
        <w:numPr>
          <w:ilvl w:val="0"/>
          <w:numId w:val="9"/>
        </w:numPr>
        <w:rPr>
          <w:rFonts w:eastAsia="Times New Roman" w:cs="Times New Roman"/>
          <w:sz w:val="24"/>
          <w:szCs w:val="24"/>
          <w:lang w:val="es-CO" w:eastAsia="es-CO"/>
        </w:rPr>
      </w:pPr>
      <w:r w:rsidRPr="00C36750">
        <w:rPr>
          <w:rFonts w:ascii="Times" w:eastAsia="Times New Roman" w:hAnsi="Times" w:cs="Times"/>
          <w:b/>
          <w:bCs/>
          <w:color w:val="222222"/>
          <w:sz w:val="22"/>
          <w:shd w:val="clear" w:color="auto" w:fill="FFFFFF"/>
          <w:lang w:val="es-CO" w:eastAsia="es-CO"/>
        </w:rPr>
        <w:t>Instituto de Investigaciones Agropecuarias (INIA</w:t>
      </w:r>
      <w:r w:rsidRPr="00C36750">
        <w:rPr>
          <w:rFonts w:ascii="Times" w:eastAsia="Times New Roman" w:hAnsi="Times" w:cs="Times"/>
          <w:b/>
          <w:bCs/>
          <w:color w:val="222222"/>
          <w:sz w:val="22"/>
          <w:lang w:val="es-CO" w:eastAsia="es-CO"/>
        </w:rPr>
        <w:t>)</w:t>
      </w:r>
      <w:r w:rsidRPr="00C36750">
        <w:rPr>
          <w:rFonts w:ascii="Times" w:eastAsia="Times New Roman" w:hAnsi="Times" w:cs="Times"/>
          <w:b/>
          <w:bCs/>
          <w:color w:val="000000"/>
          <w:sz w:val="22"/>
          <w:lang w:val="es-CO" w:eastAsia="es-CO"/>
        </w:rPr>
        <w:t xml:space="preserve"> </w:t>
      </w:r>
      <w:r w:rsidRPr="00C36750">
        <w:rPr>
          <w:rFonts w:ascii="Times" w:eastAsia="Times New Roman" w:hAnsi="Times" w:cs="Times"/>
          <w:color w:val="000000"/>
          <w:sz w:val="22"/>
          <w:lang w:val="es-CO" w:eastAsia="es-CO"/>
        </w:rPr>
        <w:t>de Chile, cre</w:t>
      </w:r>
      <w:r w:rsidRPr="00C36750">
        <w:rPr>
          <w:rFonts w:ascii="Times" w:eastAsia="Times New Roman" w:hAnsi="Times" w:cs="Times"/>
          <w:color w:val="000000"/>
          <w:sz w:val="22"/>
          <w:shd w:val="clear" w:color="auto" w:fill="FFFFFF"/>
          <w:lang w:val="es-CO" w:eastAsia="es-CO"/>
        </w:rPr>
        <w:t>ado en 1964, es la principal institución de investigación agropecuaria de Chile. Es una corporación de derecho privado sin fines de lucro, dependiente del Ministerio de Agricultura, cuyo financiamiento es a través de fondos públicos y privados, proyectos de investigación y venta de insumos tecnológicos. La misión del INIA, es generar y transferir conocimientos y tecnologías estratégicas a escala global, para producir innovación y mejorar la competitividad del sector agroalimentario. Su visión es ser una institución líder en investigación, generación y transferencia de conocimientos y tecnologías al sector agroalimentario, contribuyendo a la equidad y desarrollo sustentable del país.</w:t>
      </w:r>
      <w:r w:rsidR="00B05D96" w:rsidRPr="00C36750">
        <w:rPr>
          <w:rFonts w:ascii="Times" w:eastAsia="Times New Roman" w:hAnsi="Times" w:cs="Times"/>
          <w:color w:val="000000"/>
          <w:sz w:val="22"/>
          <w:shd w:val="clear" w:color="auto" w:fill="FFFFFF"/>
          <w:lang w:val="es-CO" w:eastAsia="es-CO"/>
        </w:rPr>
        <w:t xml:space="preserve"> </w:t>
      </w:r>
      <w:r w:rsidRPr="00C36750">
        <w:rPr>
          <w:rFonts w:ascii="Times" w:eastAsia="Times New Roman" w:hAnsi="Times" w:cs="Times"/>
          <w:color w:val="000000"/>
          <w:sz w:val="22"/>
          <w:shd w:val="clear" w:color="auto" w:fill="FFFFFF"/>
          <w:lang w:val="es-CO" w:eastAsia="es-CO"/>
        </w:rPr>
        <w:t>Actualmente dispone de una cobertura geográfica nacional, a través de sus Centros Regionales de Investigación, Laboratorios, Bibliotecas, y un personal integrado por profesionales altamente calificados, lo que le permite realizar una adecuada labor como centro de investigación al servicio del sector agroalimentario, y realizar la prestación directa de servicios. El INIA se vincula permanentemente con personas e instituciones, tanto de Chile como de otras naciones, que cuentan con la capacidad de ser contrapartes en el desarrollo de proyectos de Investigación-Desarrollo. Las principales formas de intercambio y difusión de información usados por el INIA, aparte de los servicios o productos directos son la capacitación y transferencia tecnológica, la realización de proyectos conjuntos, el intercambio de información a través de publicaciones, y el contacto directo entre investigadores.</w:t>
      </w:r>
      <w:r w:rsidR="0097083B" w:rsidRPr="00C36750">
        <w:rPr>
          <w:rFonts w:ascii="Times" w:eastAsia="Times New Roman" w:hAnsi="Times" w:cs="Times"/>
          <w:color w:val="000000"/>
          <w:sz w:val="22"/>
          <w:shd w:val="clear" w:color="auto" w:fill="FFFFFF"/>
          <w:lang w:val="es-CO" w:eastAsia="es-CO"/>
        </w:rPr>
        <w:t xml:space="preserve"> </w:t>
      </w:r>
      <w:r w:rsidR="0097083B" w:rsidRPr="00C36750">
        <w:rPr>
          <w:rFonts w:ascii="Times" w:hAnsi="Times" w:cs="Times"/>
          <w:color w:val="000000"/>
          <w:sz w:val="22"/>
          <w:shd w:val="clear" w:color="auto" w:fill="FFFFFF"/>
        </w:rPr>
        <w:t xml:space="preserve">En Chile, el equipo de Medio Ambiente de INIA Remehue, liderado por la Dra. Marta Alfaro, posee una amplia experiencia en la medición de GEI y ha trabajado en diversos proyectos nacionales e internacionales relacionados con la adaptación de sistemas ganaderos a condiciones de cambio climático y en reducir las emisiones de GEI en sistemas ganaderos. Asimismo, a través de proyectos nacionales (Fondecyt 1100300, 1070368) e internacionales (FONTAGRO FTG/RF-1028-RG y FONTAGRO 14096 C92) ha implementado de manera exitosa la metodología de medición de GEI en praderas y cultivos (arroz, entre otros) por medio del uso de cámaras estáticas y dinámicas, habiéndose realizado la evaluación de </w:t>
      </w:r>
      <w:r w:rsidR="0097083B" w:rsidRPr="00C36750">
        <w:rPr>
          <w:rFonts w:ascii="Times" w:hAnsi="Times" w:cs="Times"/>
          <w:color w:val="000000"/>
          <w:sz w:val="22"/>
          <w:shd w:val="clear" w:color="auto" w:fill="FFFFFF"/>
        </w:rPr>
        <w:lastRenderedPageBreak/>
        <w:t>potenciales medidas de mitigación por uso de fertilizantes nitrogenados. Los avances logrados en esta área han permitido que INIA Chile haya organizado dos talleres sobre medición de GEI en sistemas ganaderos, la primera Conferencia de GEI en sistemas agropecuarios de Latinoamérica (GALA) (1-3 de octubre 2014), con participación de representantes de gran parte de los países del continente, desde Chile hasta México y haya participado en varias reuniones internacionales de emisiones de GEI en arroz, organizadas por el GRA, presentando algunos trabajos preliminares, obtenidos en conjunto con el grupo de arroz anteriormente mencionado.</w:t>
      </w:r>
    </w:p>
    <w:p w:rsidR="00B647AE" w:rsidRPr="00A352A9" w:rsidRDefault="00B647AE" w:rsidP="00B647AE">
      <w:pPr>
        <w:pStyle w:val="ListParagraph"/>
        <w:numPr>
          <w:ilvl w:val="0"/>
          <w:numId w:val="0"/>
        </w:numPr>
        <w:spacing w:line="240" w:lineRule="atLeast"/>
        <w:ind w:left="720"/>
        <w:contextualSpacing w:val="0"/>
        <w:rPr>
          <w:rFonts w:cs="Times New Roman"/>
          <w:lang w:val="es-CO"/>
        </w:rPr>
      </w:pPr>
    </w:p>
    <w:p w:rsidR="00B647AE" w:rsidRPr="00A352A9" w:rsidRDefault="00B647AE" w:rsidP="00B647AE">
      <w:pPr>
        <w:pStyle w:val="ListParagraph"/>
        <w:numPr>
          <w:ilvl w:val="0"/>
          <w:numId w:val="0"/>
        </w:numPr>
        <w:spacing w:line="240" w:lineRule="atLeast"/>
        <w:ind w:left="720"/>
        <w:contextualSpacing w:val="0"/>
        <w:rPr>
          <w:rFonts w:cs="Times New Roman"/>
          <w:sz w:val="22"/>
        </w:rPr>
      </w:pPr>
      <w:r w:rsidRPr="00A352A9">
        <w:rPr>
          <w:rFonts w:cs="Times New Roman"/>
          <w:sz w:val="22"/>
        </w:rPr>
        <w:t xml:space="preserve">Como organizaciones Asociadas: </w:t>
      </w:r>
    </w:p>
    <w:p w:rsidR="00A352A9" w:rsidRPr="00C36750" w:rsidRDefault="00A352A9" w:rsidP="00405213">
      <w:pPr>
        <w:pStyle w:val="ListParagraph"/>
        <w:numPr>
          <w:ilvl w:val="0"/>
          <w:numId w:val="9"/>
        </w:numPr>
        <w:rPr>
          <w:rFonts w:eastAsia="Times New Roman" w:cs="Times New Roman"/>
          <w:sz w:val="22"/>
          <w:lang w:val="es-CO" w:eastAsia="es-CO"/>
        </w:rPr>
      </w:pPr>
      <w:r w:rsidRPr="00C36750">
        <w:rPr>
          <w:rFonts w:eastAsia="Times New Roman" w:cs="Times New Roman"/>
          <w:b/>
          <w:bCs/>
          <w:color w:val="000000"/>
          <w:sz w:val="22"/>
          <w:lang w:val="es-CO" w:eastAsia="es-CO"/>
        </w:rPr>
        <w:t xml:space="preserve">Centro Internacional de Agricultura Tropical - CIAT. </w:t>
      </w:r>
      <w:r w:rsidRPr="00C36750">
        <w:rPr>
          <w:rFonts w:eastAsia="Times New Roman" w:cs="Times New Roman"/>
          <w:color w:val="000000"/>
          <w:sz w:val="22"/>
          <w:lang w:val="es-CO" w:eastAsia="es-CO"/>
        </w:rPr>
        <w:t xml:space="preserve">Organismo internacional sin ánimo de lucro establecido en la república de Colombia por la escritura pública #4717 del 18 de octubre de 1967 y reconocido como persona jurídica por la resolución #4939 del 4 de diciembre de 1967 por el Ministerio de Justicia de la república de Colombia, constituido en Washington mediante el acuerdo de fecha 28 de mayo de 1986, celebrado entre el Banco Mundial y el Programa de las Naciones Unidas para el Desarrollo (PNUD), que tiene su sede principal en Palmira, Colombia, tiene como propósito promover el desarrollo acelerado de la agricultura y aumentar la producción agrícola en las regiones tropicales y otras regiones en desarrollo, así como contribuir al desarrollo de programas e instituciones nacionales de investigación agrícola. Dentro de su experiencia en investigación CIAT  ha estado involucrado en 13 diferentes propuesta con FONTAGRO, en diferentes áreas del conocimiento en el sector agrícola. </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A352A9" w:rsidRPr="00C36750" w:rsidRDefault="00A352A9" w:rsidP="00405213">
      <w:pPr>
        <w:pStyle w:val="ListParagraph"/>
        <w:numPr>
          <w:ilvl w:val="0"/>
          <w:numId w:val="9"/>
        </w:numPr>
        <w:rPr>
          <w:rFonts w:eastAsia="Times New Roman" w:cs="Times New Roman"/>
          <w:sz w:val="22"/>
          <w:lang w:val="es-CO" w:eastAsia="es-CO"/>
        </w:rPr>
      </w:pPr>
      <w:r w:rsidRPr="00C36750">
        <w:rPr>
          <w:rFonts w:eastAsia="Times New Roman" w:cs="Times New Roman"/>
          <w:b/>
          <w:bCs/>
          <w:color w:val="000000"/>
          <w:sz w:val="22"/>
          <w:lang w:val="es-CO" w:eastAsia="es-CO"/>
        </w:rPr>
        <w:t xml:space="preserve">Alianza Global de Investigación para los Gases de Efecto Invernadero de la Agricultura - GRA - Sub-Grupo Américas del Grupo de Investigación de Arroz Irrigado (PRRG). </w:t>
      </w:r>
      <w:r w:rsidRPr="00C36750">
        <w:rPr>
          <w:rFonts w:eastAsia="Times New Roman" w:cs="Times New Roman"/>
          <w:color w:val="000000"/>
          <w:sz w:val="22"/>
          <w:lang w:val="es-CO" w:eastAsia="es-CO"/>
        </w:rPr>
        <w:t>La GRA se creó en 2009 y su lema es aliar a los países para encontrar formas de producir más alimentos a escala global, sin incrementar las emisiones GEI. El gobierno lo ejerce el Consejo de la GRA integrado por delegados de los 48 países miembros y las acciones concretas de investigación las llevan adelante los Grupos de Investigación.  Uno de ellos es el Grupo de Investigación para Arroz de Riego - PRRG, el cual funciona con dos Sub-Grupos: Asia y Américas. El Sub-Grupo para las Américas es el que participará como organismo asociado en este proyecto.  </w:t>
      </w:r>
    </w:p>
    <w:p w:rsidR="00C36750" w:rsidRPr="00C36750" w:rsidRDefault="00C36750" w:rsidP="00C36750">
      <w:pPr>
        <w:pStyle w:val="ListParagraph"/>
        <w:numPr>
          <w:ilvl w:val="0"/>
          <w:numId w:val="0"/>
        </w:numPr>
        <w:ind w:left="1008"/>
        <w:rPr>
          <w:rFonts w:eastAsia="Times New Roman" w:cs="Times New Roman"/>
          <w:sz w:val="22"/>
          <w:lang w:val="es-CO" w:eastAsia="es-CO"/>
        </w:rPr>
      </w:pPr>
    </w:p>
    <w:p w:rsidR="00A352A9" w:rsidRPr="00C36750" w:rsidRDefault="00A352A9" w:rsidP="00405213">
      <w:pPr>
        <w:pStyle w:val="ListParagraph"/>
        <w:numPr>
          <w:ilvl w:val="0"/>
          <w:numId w:val="9"/>
        </w:numPr>
        <w:rPr>
          <w:rFonts w:eastAsia="Times New Roman" w:cs="Times New Roman"/>
          <w:b/>
          <w:bCs/>
          <w:color w:val="000000"/>
          <w:sz w:val="22"/>
          <w:lang w:val="es-CO" w:eastAsia="es-CO"/>
        </w:rPr>
      </w:pPr>
      <w:r w:rsidRPr="00C36750">
        <w:rPr>
          <w:rFonts w:eastAsia="Times New Roman" w:cs="Times New Roman"/>
          <w:b/>
          <w:bCs/>
          <w:color w:val="000000"/>
          <w:sz w:val="22"/>
          <w:lang w:val="es-CO" w:eastAsia="es-CO"/>
        </w:rPr>
        <w:t>Fondo Latinoamericano para Arroz de Riego - FLAR</w:t>
      </w:r>
      <w:r w:rsidRPr="00C36750">
        <w:rPr>
          <w:rFonts w:eastAsia="Times New Roman" w:cs="Times New Roman"/>
          <w:bCs/>
          <w:color w:val="000000"/>
          <w:sz w:val="22"/>
          <w:lang w:val="es-CO" w:eastAsia="es-CO"/>
        </w:rPr>
        <w:t xml:space="preserve"> es un foro regional basado en la solidaridad, la diversidad y el consenso, que tiene como misión servir a los intereses de sus miembros y por su intermedio al fortalecimiento del sector arrocero de Latinoamérica y el Caribe, conforme los preceptos de competitividad y sostenibilidad, liderando procesos de generación y transferencia de tecnologías eco-eficientes, promoviendo el riego como herramienta indispensable para su desarrollo, colaborando con la seguridad alimentaria y la obtención de precios razonables para este producto básico en la dieta de los más pobres. En el FLAR se reúnen diversas Organizaciones  vinculadas al arroz en Argentina, Bolivia, Brasil, Chile, Colombia, Costa Rica, Ecuador, Guyana, Honduras, México, Nicaragua, Panamá, Perú, República Dominicana, Uruguay  y Venezuela, además del Centro Internacional de Agricultura Tropical - CIAT, como aliado estratégico</w:t>
      </w:r>
      <w:r w:rsidRPr="00C36750">
        <w:rPr>
          <w:rFonts w:eastAsia="Times New Roman" w:cs="Times New Roman"/>
          <w:b/>
          <w:bCs/>
          <w:color w:val="000000"/>
          <w:sz w:val="22"/>
          <w:lang w:val="es-CO" w:eastAsia="es-CO"/>
        </w:rPr>
        <w:t>.</w:t>
      </w:r>
    </w:p>
    <w:p w:rsidR="00A352A9" w:rsidRPr="00B647AE" w:rsidRDefault="00A352A9" w:rsidP="00B647AE">
      <w:pPr>
        <w:pStyle w:val="ListParagraph"/>
        <w:numPr>
          <w:ilvl w:val="0"/>
          <w:numId w:val="0"/>
        </w:numPr>
        <w:spacing w:line="240" w:lineRule="atLeast"/>
        <w:ind w:left="720"/>
        <w:contextualSpacing w:val="0"/>
        <w:rPr>
          <w:rFonts w:cs="Times New Roman"/>
        </w:rPr>
      </w:pPr>
    </w:p>
    <w:p w:rsidR="0095711B" w:rsidRPr="000B7E0D" w:rsidRDefault="0023182E" w:rsidP="00405213">
      <w:pPr>
        <w:pStyle w:val="Heading1"/>
        <w:numPr>
          <w:ilvl w:val="0"/>
          <w:numId w:val="3"/>
        </w:numPr>
        <w:rPr>
          <w:rFonts w:ascii="Times New Roman" w:hAnsi="Times New Roman" w:cs="Times New Roman"/>
        </w:rPr>
      </w:pPr>
      <w:r w:rsidRPr="000B7E0D">
        <w:rPr>
          <w:rFonts w:ascii="Times New Roman" w:hAnsi="Times New Roman" w:cs="Times New Roman"/>
        </w:rPr>
        <w:lastRenderedPageBreak/>
        <w:t xml:space="preserve">Riesgos importantes </w:t>
      </w:r>
      <w:r w:rsidR="00C41913" w:rsidRPr="000B7E0D">
        <w:rPr>
          <w:rFonts w:ascii="Times New Roman" w:hAnsi="Times New Roman" w:cs="Times New Roman"/>
        </w:rPr>
        <w:t xml:space="preserve"> </w:t>
      </w:r>
      <w:r w:rsidR="00086CFF" w:rsidRPr="000B7E0D">
        <w:rPr>
          <w:rFonts w:ascii="Times New Roman" w:hAnsi="Times New Roman" w:cs="Times New Roman"/>
        </w:rPr>
        <w:t xml:space="preserve"> </w:t>
      </w:r>
    </w:p>
    <w:p w:rsidR="00686100" w:rsidRPr="00682C52" w:rsidRDefault="00682C52" w:rsidP="00682C52">
      <w:pPr>
        <w:pStyle w:val="ListParagraph"/>
        <w:numPr>
          <w:ilvl w:val="0"/>
          <w:numId w:val="0"/>
        </w:numPr>
        <w:ind w:left="720"/>
        <w:rPr>
          <w:rFonts w:cs="Times New Roman"/>
          <w:sz w:val="22"/>
        </w:rPr>
      </w:pPr>
      <w:r w:rsidRPr="00682C52">
        <w:rPr>
          <w:rFonts w:cs="Times New Roman"/>
          <w:sz w:val="22"/>
        </w:rPr>
        <w:t xml:space="preserve">6.1 </w:t>
      </w:r>
      <w:r w:rsidR="00A352A9" w:rsidRPr="00682C52">
        <w:rPr>
          <w:rFonts w:cs="Times New Roman"/>
          <w:sz w:val="22"/>
        </w:rPr>
        <w:t>Los factores externos que ponen en  riesgo  los objetivos previstos en el proyecto están asociados fundamentalmente  a:</w:t>
      </w:r>
    </w:p>
    <w:p w:rsidR="00A352A9" w:rsidRPr="00A352A9" w:rsidRDefault="00686100" w:rsidP="00682C52">
      <w:pPr>
        <w:rPr>
          <w:rFonts w:cs="Times New Roman"/>
          <w:sz w:val="22"/>
        </w:rPr>
      </w:pPr>
      <w:r>
        <w:rPr>
          <w:rFonts w:cs="Times New Roman"/>
          <w:sz w:val="22"/>
        </w:rPr>
        <w:br/>
        <w:t xml:space="preserve">1) Problemas de presupuestos </w:t>
      </w:r>
      <w:r w:rsidR="00A352A9" w:rsidRPr="00A352A9">
        <w:rPr>
          <w:rFonts w:cs="Times New Roman"/>
          <w:sz w:val="22"/>
        </w:rPr>
        <w:t xml:space="preserve">de las instituciones en los países </w:t>
      </w:r>
      <w:r>
        <w:rPr>
          <w:rFonts w:cs="Times New Roman"/>
          <w:sz w:val="22"/>
        </w:rPr>
        <w:t>participantes</w:t>
      </w:r>
      <w:r w:rsidR="00A352A9" w:rsidRPr="00A352A9">
        <w:rPr>
          <w:rFonts w:cs="Times New Roman"/>
          <w:sz w:val="22"/>
        </w:rPr>
        <w:t xml:space="preserve"> que impidan el desarrollo de </w:t>
      </w:r>
      <w:r>
        <w:rPr>
          <w:rFonts w:cs="Times New Roman"/>
          <w:sz w:val="22"/>
        </w:rPr>
        <w:t>las actividades prevista</w:t>
      </w:r>
      <w:r w:rsidR="00A352A9" w:rsidRPr="00A352A9">
        <w:rPr>
          <w:rFonts w:cs="Times New Roman"/>
          <w:sz w:val="22"/>
        </w:rPr>
        <w:t>s. Con alguna frecuencia mayor que la deseada en las  instituciones de América Latina  la ejecución presupuestaria es irregular y el flujo de fondos a veces no se acompaña de las necesidades y cronogramas previstos en la p</w:t>
      </w:r>
      <w:r>
        <w:rPr>
          <w:rFonts w:cs="Times New Roman"/>
          <w:sz w:val="22"/>
        </w:rPr>
        <w:t xml:space="preserve">lanificación de los proyectos.  </w:t>
      </w:r>
      <w:r>
        <w:rPr>
          <w:rFonts w:cs="Times New Roman"/>
          <w:sz w:val="22"/>
        </w:rPr>
        <w:br/>
        <w:t>2</w:t>
      </w:r>
      <w:r w:rsidR="00A352A9" w:rsidRPr="00A352A9">
        <w:rPr>
          <w:rFonts w:cs="Times New Roman"/>
          <w:sz w:val="22"/>
        </w:rPr>
        <w:t>) Aparición de problemas sanitarios que afecten total o parcialmente la realización de los ensayos. Para reducir este riesgo, se mantendrá una vigilancia continua de los sitios experimentales con la finalidad de realizar los man</w:t>
      </w:r>
      <w:r>
        <w:rPr>
          <w:rFonts w:cs="Times New Roman"/>
          <w:sz w:val="22"/>
        </w:rPr>
        <w:t>ejos requeridos oportunamente.</w:t>
      </w:r>
      <w:r>
        <w:rPr>
          <w:rFonts w:cs="Times New Roman"/>
          <w:sz w:val="22"/>
        </w:rPr>
        <w:br/>
        <w:t>3</w:t>
      </w:r>
      <w:r w:rsidR="00A352A9" w:rsidRPr="00A352A9">
        <w:rPr>
          <w:rFonts w:cs="Times New Roman"/>
          <w:sz w:val="22"/>
        </w:rPr>
        <w:t xml:space="preserve">) Limitación en </w:t>
      </w:r>
      <w:r>
        <w:rPr>
          <w:rFonts w:cs="Times New Roman"/>
          <w:sz w:val="22"/>
        </w:rPr>
        <w:t>el acceso de la información que impidan el cumplimiento de actividades propuestas.</w:t>
      </w:r>
    </w:p>
    <w:p w:rsidR="00A352A9" w:rsidRPr="00A352A9" w:rsidRDefault="00686100" w:rsidP="00682C52">
      <w:pPr>
        <w:rPr>
          <w:rFonts w:cs="Times New Roman"/>
          <w:sz w:val="22"/>
        </w:rPr>
      </w:pPr>
      <w:r>
        <w:rPr>
          <w:rFonts w:cs="Times New Roman"/>
          <w:sz w:val="22"/>
        </w:rPr>
        <w:t>4</w:t>
      </w:r>
      <w:r w:rsidR="00A352A9" w:rsidRPr="00A352A9">
        <w:rPr>
          <w:rFonts w:cs="Times New Roman"/>
          <w:sz w:val="22"/>
        </w:rPr>
        <w:t>)</w:t>
      </w:r>
      <w:r>
        <w:rPr>
          <w:rFonts w:cs="Times New Roman"/>
          <w:sz w:val="22"/>
        </w:rPr>
        <w:t xml:space="preserve"> </w:t>
      </w:r>
      <w:r w:rsidR="00A352A9" w:rsidRPr="00A352A9">
        <w:rPr>
          <w:rFonts w:cs="Times New Roman"/>
          <w:sz w:val="22"/>
        </w:rPr>
        <w:t>Factores climáticos, como  presencia de lluvias inoportunas en duración, frecuencia que podrían afectar los tratamientos de estrés hídrico.</w:t>
      </w:r>
    </w:p>
    <w:p w:rsidR="00F72899" w:rsidRPr="000B7E0D" w:rsidRDefault="00E815BF" w:rsidP="00DD25C8">
      <w:pPr>
        <w:pStyle w:val="Heading1"/>
        <w:rPr>
          <w:rFonts w:ascii="Times New Roman" w:hAnsi="Times New Roman" w:cs="Times New Roman"/>
        </w:rPr>
      </w:pPr>
      <w:r>
        <w:rPr>
          <w:rFonts w:ascii="Times New Roman" w:hAnsi="Times New Roman" w:cs="Times New Roman"/>
        </w:rPr>
        <w:t xml:space="preserve">VII. </w:t>
      </w:r>
      <w:r w:rsidR="00F72899" w:rsidRPr="000B7E0D">
        <w:rPr>
          <w:rFonts w:ascii="Times New Roman" w:hAnsi="Times New Roman" w:cs="Times New Roman"/>
        </w:rPr>
        <w:t>Excep</w:t>
      </w:r>
      <w:r w:rsidR="0023182E" w:rsidRPr="000B7E0D">
        <w:rPr>
          <w:rFonts w:ascii="Times New Roman" w:hAnsi="Times New Roman" w:cs="Times New Roman"/>
        </w:rPr>
        <w:t>ciones a las políticas del Banco</w:t>
      </w:r>
    </w:p>
    <w:p w:rsidR="008D342E" w:rsidRPr="00682C52" w:rsidRDefault="00682C52" w:rsidP="00405213">
      <w:pPr>
        <w:pStyle w:val="ListParagraph"/>
        <w:numPr>
          <w:ilvl w:val="1"/>
          <w:numId w:val="12"/>
        </w:numPr>
        <w:spacing w:after="240" w:line="240" w:lineRule="atLeast"/>
        <w:rPr>
          <w:rFonts w:cs="Times New Roman"/>
          <w:sz w:val="22"/>
        </w:rPr>
      </w:pPr>
      <w:r>
        <w:rPr>
          <w:rFonts w:cs="Times New Roman"/>
          <w:sz w:val="22"/>
        </w:rPr>
        <w:t xml:space="preserve"> </w:t>
      </w:r>
      <w:r w:rsidR="008D342E" w:rsidRPr="00682C52">
        <w:rPr>
          <w:rFonts w:cs="Times New Roman"/>
          <w:sz w:val="22"/>
        </w:rPr>
        <w:t xml:space="preserve">No se identifican excepciones a las políticas del Banco. </w:t>
      </w:r>
    </w:p>
    <w:p w:rsidR="0095711B" w:rsidRPr="000B7E0D" w:rsidRDefault="000C16F9" w:rsidP="00405213">
      <w:pPr>
        <w:pStyle w:val="Heading1"/>
        <w:numPr>
          <w:ilvl w:val="0"/>
          <w:numId w:val="10"/>
        </w:numPr>
        <w:rPr>
          <w:rFonts w:ascii="Times New Roman" w:hAnsi="Times New Roman" w:cs="Times New Roman"/>
        </w:rPr>
      </w:pPr>
      <w:r w:rsidRPr="000B7E0D">
        <w:rPr>
          <w:rFonts w:ascii="Times New Roman" w:hAnsi="Times New Roman" w:cs="Times New Roman"/>
        </w:rPr>
        <w:t>Salvaguardias Ambientales</w:t>
      </w:r>
      <w:r w:rsidR="00C70F5A" w:rsidRPr="000B7E0D">
        <w:rPr>
          <w:rFonts w:ascii="Times New Roman" w:hAnsi="Times New Roman" w:cs="Times New Roman"/>
        </w:rPr>
        <w:t xml:space="preserve">   </w:t>
      </w:r>
      <w:r w:rsidR="00D15A29" w:rsidRPr="000B7E0D">
        <w:rPr>
          <w:rFonts w:ascii="Times New Roman" w:hAnsi="Times New Roman" w:cs="Times New Roman"/>
        </w:rPr>
        <w:t xml:space="preserve"> </w:t>
      </w:r>
    </w:p>
    <w:p w:rsidR="00B56CDC" w:rsidRPr="00682C52" w:rsidRDefault="00B56CDC" w:rsidP="00405213">
      <w:pPr>
        <w:pStyle w:val="ListParagraph"/>
        <w:numPr>
          <w:ilvl w:val="1"/>
          <w:numId w:val="11"/>
        </w:numPr>
        <w:rPr>
          <w:rFonts w:cs="Times New Roman"/>
          <w:sz w:val="22"/>
          <w:highlight w:val="lightGray"/>
        </w:rPr>
      </w:pPr>
      <w:r w:rsidRPr="00682C52">
        <w:rPr>
          <w:rFonts w:cs="Times New Roman"/>
          <w:sz w:val="22"/>
        </w:rPr>
        <w:t>Todas las CT</w:t>
      </w:r>
      <w:r w:rsidR="00985AD4" w:rsidRPr="00682C52">
        <w:rPr>
          <w:rFonts w:cs="Times New Roman"/>
          <w:sz w:val="22"/>
        </w:rPr>
        <w:t>’</w:t>
      </w:r>
      <w:r w:rsidR="000C16F9" w:rsidRPr="00682C52">
        <w:rPr>
          <w:rFonts w:cs="Times New Roman"/>
          <w:sz w:val="22"/>
        </w:rPr>
        <w:t>s</w:t>
      </w:r>
      <w:r w:rsidRPr="00682C52">
        <w:rPr>
          <w:rFonts w:cs="Times New Roman"/>
          <w:sz w:val="22"/>
        </w:rPr>
        <w:t xml:space="preserve"> deberán tener una clasificación de ESG. </w:t>
      </w:r>
      <w:r w:rsidR="00C5184A" w:rsidRPr="00682C52">
        <w:rPr>
          <w:rFonts w:cs="Times New Roman"/>
          <w:sz w:val="22"/>
        </w:rPr>
        <w:t>E</w:t>
      </w:r>
      <w:r w:rsidRPr="00682C52">
        <w:rPr>
          <w:rFonts w:cs="Times New Roman"/>
          <w:sz w:val="22"/>
        </w:rPr>
        <w:t xml:space="preserve">ste </w:t>
      </w:r>
      <w:r w:rsidR="00314C09" w:rsidRPr="00682C52">
        <w:rPr>
          <w:rFonts w:cs="Times New Roman"/>
          <w:sz w:val="22"/>
        </w:rPr>
        <w:t>elemento</w:t>
      </w:r>
      <w:r w:rsidRPr="00682C52">
        <w:rPr>
          <w:rFonts w:cs="Times New Roman"/>
          <w:sz w:val="22"/>
        </w:rPr>
        <w:t xml:space="preserve"> debe</w:t>
      </w:r>
      <w:r w:rsidR="00C5184A" w:rsidRPr="00682C52">
        <w:rPr>
          <w:rFonts w:cs="Times New Roman"/>
          <w:sz w:val="22"/>
        </w:rPr>
        <w:t>rá</w:t>
      </w:r>
      <w:r w:rsidR="00A91613" w:rsidRPr="00682C52">
        <w:rPr>
          <w:rFonts w:cs="Times New Roman"/>
          <w:sz w:val="22"/>
        </w:rPr>
        <w:t xml:space="preserve"> </w:t>
      </w:r>
      <w:r w:rsidRPr="00682C52">
        <w:rPr>
          <w:rFonts w:cs="Times New Roman"/>
          <w:sz w:val="22"/>
        </w:rPr>
        <w:t>ser preparado por ESG y</w:t>
      </w:r>
      <w:r w:rsidR="00C5184A" w:rsidRPr="00682C52">
        <w:rPr>
          <w:rFonts w:cs="Times New Roman"/>
          <w:sz w:val="22"/>
        </w:rPr>
        <w:t xml:space="preserve"> describir</w:t>
      </w:r>
      <w:r w:rsidR="000C16F9" w:rsidRPr="00682C52">
        <w:rPr>
          <w:rFonts w:cs="Times New Roman"/>
          <w:sz w:val="22"/>
        </w:rPr>
        <w:t>á</w:t>
      </w:r>
      <w:r w:rsidRPr="00682C52">
        <w:rPr>
          <w:rFonts w:cs="Times New Roman"/>
          <w:sz w:val="22"/>
        </w:rPr>
        <w:t xml:space="preserve"> </w:t>
      </w:r>
      <w:r w:rsidR="00C5184A" w:rsidRPr="00682C52">
        <w:rPr>
          <w:rFonts w:cs="Times New Roman"/>
          <w:sz w:val="22"/>
        </w:rPr>
        <w:t xml:space="preserve">los impactos sociales y/o ambientales </w:t>
      </w:r>
      <w:r w:rsidRPr="00682C52">
        <w:rPr>
          <w:rFonts w:cs="Times New Roman"/>
          <w:sz w:val="22"/>
        </w:rPr>
        <w:t>identificado</w:t>
      </w:r>
      <w:r w:rsidR="00C5184A" w:rsidRPr="00682C52">
        <w:rPr>
          <w:rFonts w:cs="Times New Roman"/>
          <w:sz w:val="22"/>
        </w:rPr>
        <w:t>s</w:t>
      </w:r>
      <w:r w:rsidRPr="00682C52">
        <w:rPr>
          <w:rFonts w:cs="Times New Roman"/>
          <w:sz w:val="22"/>
        </w:rPr>
        <w:t xml:space="preserve"> o potencial</w:t>
      </w:r>
      <w:r w:rsidR="00C5184A" w:rsidRPr="00682C52">
        <w:rPr>
          <w:rFonts w:cs="Times New Roman"/>
          <w:sz w:val="22"/>
        </w:rPr>
        <w:t xml:space="preserve">mente </w:t>
      </w:r>
      <w:r w:rsidRPr="00682C52">
        <w:rPr>
          <w:rFonts w:cs="Times New Roman"/>
          <w:sz w:val="22"/>
        </w:rPr>
        <w:t>negativo</w:t>
      </w:r>
      <w:r w:rsidR="00C5184A" w:rsidRPr="00682C52">
        <w:rPr>
          <w:rFonts w:cs="Times New Roman"/>
          <w:sz w:val="22"/>
        </w:rPr>
        <w:t>s</w:t>
      </w:r>
      <w:r w:rsidRPr="00682C52">
        <w:rPr>
          <w:rFonts w:cs="Times New Roman"/>
          <w:sz w:val="22"/>
        </w:rPr>
        <w:t xml:space="preserve"> de la cooperación técnica y la estrategia de cómo estos serán tratados adecuadamente </w:t>
      </w:r>
      <w:r w:rsidR="00C5184A" w:rsidRPr="00682C52">
        <w:rPr>
          <w:rFonts w:cs="Times New Roman"/>
          <w:sz w:val="22"/>
        </w:rPr>
        <w:t>y definidos</w:t>
      </w:r>
      <w:r w:rsidRPr="00682C52">
        <w:rPr>
          <w:rFonts w:cs="Times New Roman"/>
          <w:sz w:val="22"/>
        </w:rPr>
        <w:t xml:space="preserve"> por</w:t>
      </w:r>
      <w:r w:rsidR="00C5184A" w:rsidRPr="00682C52">
        <w:rPr>
          <w:rFonts w:cs="Times New Roman"/>
          <w:sz w:val="22"/>
        </w:rPr>
        <w:t xml:space="preserve"> la</w:t>
      </w:r>
      <w:r w:rsidRPr="00682C52">
        <w:rPr>
          <w:rFonts w:cs="Times New Roman"/>
          <w:sz w:val="22"/>
        </w:rPr>
        <w:t xml:space="preserve"> PR-1006.</w:t>
      </w: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Default="00682C52" w:rsidP="00682C52">
      <w:pPr>
        <w:pStyle w:val="ListParagraph"/>
        <w:numPr>
          <w:ilvl w:val="0"/>
          <w:numId w:val="0"/>
        </w:numPr>
        <w:ind w:left="360"/>
        <w:rPr>
          <w:rFonts w:cs="Times New Roman"/>
          <w:sz w:val="22"/>
        </w:rPr>
      </w:pPr>
    </w:p>
    <w:p w:rsidR="00682C52" w:rsidRPr="00682C52" w:rsidRDefault="00682C52" w:rsidP="00682C52">
      <w:pPr>
        <w:pStyle w:val="ListParagraph"/>
        <w:numPr>
          <w:ilvl w:val="0"/>
          <w:numId w:val="0"/>
        </w:numPr>
        <w:ind w:left="360"/>
        <w:rPr>
          <w:rFonts w:cs="Times New Roman"/>
          <w:sz w:val="22"/>
          <w:highlight w:val="lightGray"/>
        </w:rPr>
      </w:pPr>
    </w:p>
    <w:p w:rsidR="00F72899" w:rsidRPr="000B7E0D" w:rsidRDefault="00C5184A" w:rsidP="00405213">
      <w:pPr>
        <w:pStyle w:val="Heading1"/>
        <w:numPr>
          <w:ilvl w:val="0"/>
          <w:numId w:val="10"/>
        </w:numPr>
        <w:rPr>
          <w:rFonts w:ascii="Times New Roman" w:hAnsi="Times New Roman" w:cs="Times New Roman"/>
        </w:rPr>
      </w:pPr>
      <w:r w:rsidRPr="000B7E0D">
        <w:rPr>
          <w:rFonts w:ascii="Times New Roman" w:hAnsi="Times New Roman" w:cs="Times New Roman"/>
        </w:rPr>
        <w:lastRenderedPageBreak/>
        <w:t>Anexos Requeridos</w:t>
      </w:r>
    </w:p>
    <w:p w:rsidR="00C159BB" w:rsidRPr="00682C52" w:rsidRDefault="00C159BB" w:rsidP="00405213">
      <w:pPr>
        <w:pStyle w:val="ListParagraph"/>
        <w:numPr>
          <w:ilvl w:val="1"/>
          <w:numId w:val="13"/>
        </w:numPr>
        <w:spacing w:after="200" w:line="276" w:lineRule="auto"/>
        <w:jc w:val="left"/>
      </w:pPr>
      <w:r w:rsidRPr="00AE5227">
        <w:rPr>
          <w:rFonts w:cs="Times New Roman"/>
          <w:sz w:val="22"/>
        </w:rPr>
        <w:t>Anexo I. Datos de las organizaciones participantes</w:t>
      </w:r>
    </w:p>
    <w:p w:rsidR="00C159BB" w:rsidRPr="000B7E0D" w:rsidRDefault="00E87CEE" w:rsidP="00E87CEE">
      <w:pPr>
        <w:jc w:val="center"/>
        <w:rPr>
          <w:rFonts w:cs="Times New Roman"/>
          <w:b/>
          <w:bCs/>
          <w:color w:val="0000FF"/>
        </w:rPr>
      </w:pPr>
      <w:r w:rsidRPr="000B7E0D">
        <w:rPr>
          <w:rFonts w:cs="Times New Roman"/>
          <w:b/>
          <w:bCs/>
        </w:rPr>
        <w:t>Agencia Ejecutora</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C159BB" w:rsidRPr="00523C23" w:rsidTr="009E4AFA">
        <w:trPr>
          <w:cantSplit/>
          <w:trHeight w:val="1871"/>
        </w:trPr>
        <w:tc>
          <w:tcPr>
            <w:tcW w:w="9090" w:type="dxa"/>
          </w:tcPr>
          <w:p w:rsidR="00224925" w:rsidRDefault="00224925" w:rsidP="00224925">
            <w:pPr>
              <w:pStyle w:val="NormalWeb"/>
              <w:spacing w:before="0" w:beforeAutospacing="0" w:after="0" w:afterAutospacing="0"/>
              <w:ind w:left="360"/>
              <w:jc w:val="both"/>
            </w:pPr>
            <w:r>
              <w:rPr>
                <w:rFonts w:ascii="Times" w:hAnsi="Times" w:cs="Times"/>
                <w:color w:val="000000"/>
                <w:sz w:val="22"/>
                <w:szCs w:val="22"/>
              </w:rPr>
              <w:t>Organización: Federación Nacional de Arroceros FEDEARROZ</w:t>
            </w:r>
          </w:p>
          <w:p w:rsidR="00224925" w:rsidRDefault="00224925" w:rsidP="00224925">
            <w:pPr>
              <w:pStyle w:val="NormalWeb"/>
              <w:spacing w:before="0" w:beforeAutospacing="0" w:after="0" w:afterAutospacing="0"/>
              <w:ind w:left="360"/>
              <w:jc w:val="both"/>
            </w:pPr>
            <w:r>
              <w:rPr>
                <w:rFonts w:ascii="Times" w:hAnsi="Times" w:cs="Times"/>
                <w:color w:val="000000"/>
                <w:sz w:val="22"/>
                <w:szCs w:val="22"/>
              </w:rPr>
              <w:t>Nombre y Apellido: RAFAEL HERNÁNDEZ LOZANO</w:t>
            </w:r>
          </w:p>
          <w:p w:rsidR="00224925" w:rsidRDefault="00224925" w:rsidP="00224925">
            <w:pPr>
              <w:pStyle w:val="NormalWeb"/>
              <w:spacing w:before="0" w:beforeAutospacing="0" w:after="0" w:afterAutospacing="0"/>
              <w:ind w:left="360"/>
              <w:jc w:val="both"/>
            </w:pPr>
            <w:r>
              <w:rPr>
                <w:rFonts w:ascii="Times" w:hAnsi="Times" w:cs="Times"/>
                <w:color w:val="000000"/>
                <w:sz w:val="22"/>
                <w:szCs w:val="22"/>
              </w:rPr>
              <w:t xml:space="preserve">Cargo: Gerente General </w:t>
            </w:r>
          </w:p>
          <w:p w:rsidR="00224925" w:rsidRDefault="00224925" w:rsidP="00224925">
            <w:pPr>
              <w:pStyle w:val="NormalWeb"/>
              <w:spacing w:before="0" w:beforeAutospacing="0" w:after="0" w:afterAutospacing="0"/>
              <w:ind w:left="360"/>
              <w:jc w:val="both"/>
            </w:pPr>
            <w:r>
              <w:rPr>
                <w:rFonts w:ascii="Times" w:hAnsi="Times" w:cs="Times"/>
                <w:color w:val="000000"/>
                <w:sz w:val="22"/>
                <w:szCs w:val="22"/>
              </w:rPr>
              <w:t>Dirección: Carrera 100 No. 25H-55</w:t>
            </w:r>
          </w:p>
          <w:p w:rsidR="00224925" w:rsidRDefault="00224925" w:rsidP="00224925">
            <w:pPr>
              <w:pStyle w:val="NormalWeb"/>
              <w:spacing w:before="0" w:beforeAutospacing="0" w:after="0" w:afterAutospacing="0"/>
              <w:ind w:left="360"/>
              <w:jc w:val="both"/>
            </w:pPr>
            <w:r>
              <w:rPr>
                <w:rFonts w:ascii="Times" w:hAnsi="Times" w:cs="Times"/>
                <w:color w:val="000000"/>
                <w:sz w:val="22"/>
                <w:szCs w:val="22"/>
              </w:rPr>
              <w:t xml:space="preserve">País: Colombia </w:t>
            </w:r>
          </w:p>
          <w:p w:rsidR="00224925" w:rsidRDefault="00224925" w:rsidP="00224925">
            <w:pPr>
              <w:pStyle w:val="NormalWeb"/>
              <w:spacing w:before="0" w:beforeAutospacing="0" w:after="0" w:afterAutospacing="0"/>
              <w:ind w:left="360"/>
              <w:jc w:val="both"/>
            </w:pPr>
            <w:r>
              <w:rPr>
                <w:rFonts w:ascii="Times" w:hAnsi="Times" w:cs="Times"/>
                <w:color w:val="000000"/>
                <w:sz w:val="22"/>
                <w:szCs w:val="22"/>
              </w:rPr>
              <w:t>Tel.: +57 1 4251150</w:t>
            </w:r>
          </w:p>
          <w:p w:rsidR="00C159BB" w:rsidRPr="00523C23" w:rsidRDefault="00224925" w:rsidP="00224925">
            <w:pPr>
              <w:pStyle w:val="NormalWeb"/>
              <w:spacing w:before="0" w:beforeAutospacing="0" w:after="0" w:afterAutospacing="0"/>
              <w:ind w:left="360"/>
              <w:jc w:val="both"/>
            </w:pPr>
            <w:r w:rsidRPr="00523C23">
              <w:rPr>
                <w:rFonts w:ascii="Times" w:hAnsi="Times" w:cs="Times"/>
                <w:color w:val="000000"/>
                <w:sz w:val="22"/>
                <w:szCs w:val="22"/>
              </w:rPr>
              <w:t>Email: gerencia@fedearroz.com.co</w:t>
            </w:r>
          </w:p>
        </w:tc>
      </w:tr>
    </w:tbl>
    <w:p w:rsidR="00C159BB" w:rsidRPr="00523C23" w:rsidRDefault="00C159BB" w:rsidP="00C159BB">
      <w:pPr>
        <w:rPr>
          <w:rFonts w:cs="Times New Roman"/>
          <w:highlight w:val="lightGray"/>
          <w:lang w:val="es-CO"/>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752"/>
      </w:tblGrid>
      <w:tr w:rsidR="00C159BB" w:rsidRPr="000B7E0D" w:rsidTr="009E4AFA">
        <w:tc>
          <w:tcPr>
            <w:tcW w:w="4248" w:type="dxa"/>
          </w:tcPr>
          <w:p w:rsidR="00C159BB" w:rsidRPr="000B7E0D" w:rsidRDefault="00E87CEE" w:rsidP="009E4AFA">
            <w:pPr>
              <w:rPr>
                <w:rFonts w:cs="Times New Roman"/>
                <w:b/>
                <w:bCs/>
                <w:iCs/>
                <w:color w:val="000000"/>
                <w:szCs w:val="20"/>
              </w:rPr>
            </w:pPr>
            <w:r w:rsidRPr="000B7E0D">
              <w:rPr>
                <w:rFonts w:cs="Times New Roman"/>
                <w:b/>
                <w:bCs/>
                <w:iCs/>
                <w:color w:val="000000"/>
                <w:szCs w:val="20"/>
              </w:rPr>
              <w:t xml:space="preserve">Investigador </w:t>
            </w:r>
          </w:p>
        </w:tc>
        <w:tc>
          <w:tcPr>
            <w:tcW w:w="4752" w:type="dxa"/>
          </w:tcPr>
          <w:p w:rsidR="00C159BB" w:rsidRPr="000B7E0D" w:rsidRDefault="00C159BB" w:rsidP="009E4AFA">
            <w:pPr>
              <w:rPr>
                <w:rFonts w:cs="Times New Roman"/>
                <w:b/>
                <w:bCs/>
                <w:iCs/>
                <w:color w:val="000000"/>
                <w:szCs w:val="20"/>
              </w:rPr>
            </w:pPr>
            <w:r w:rsidRPr="000B7E0D">
              <w:rPr>
                <w:rFonts w:cs="Times New Roman"/>
                <w:b/>
                <w:bCs/>
                <w:iCs/>
                <w:color w:val="000000"/>
                <w:szCs w:val="20"/>
              </w:rPr>
              <w:t>Asistente</w:t>
            </w:r>
          </w:p>
        </w:tc>
      </w:tr>
      <w:tr w:rsidR="00C159BB" w:rsidRPr="000B7E0D" w:rsidTr="009E4AFA">
        <w:tc>
          <w:tcPr>
            <w:tcW w:w="4248" w:type="dxa"/>
          </w:tcPr>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Organización: Federación Nacional de Arroceros FEDEARROZ</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Nombre y Apellido: Myriam Patricia Guzmán García.</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Cargo: Subgerente Técnico</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 xml:space="preserve">Dirección: Carrera 100 No. 25H - 55 </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País: Colombia</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Tel. directo: 3132450331</w:t>
            </w:r>
          </w:p>
          <w:p w:rsidR="00224925" w:rsidRPr="00224925" w:rsidRDefault="00224925" w:rsidP="00224925">
            <w:pPr>
              <w:ind w:left="360"/>
              <w:rPr>
                <w:rFonts w:eastAsia="Times New Roman" w:cs="Times New Roman"/>
                <w:sz w:val="22"/>
                <w:lang w:val="es-CO" w:eastAsia="es-CO"/>
              </w:rPr>
            </w:pPr>
            <w:r w:rsidRPr="00224925">
              <w:rPr>
                <w:rFonts w:eastAsia="Times New Roman" w:cs="Times New Roman"/>
                <w:color w:val="000000"/>
                <w:sz w:val="22"/>
                <w:lang w:val="es-CO" w:eastAsia="es-CO"/>
              </w:rPr>
              <w:t>Email: subtecnica@fedearroz.com.co</w:t>
            </w:r>
          </w:p>
          <w:p w:rsidR="00C159BB" w:rsidRPr="000B7E0D" w:rsidRDefault="00224925" w:rsidP="00224925">
            <w:pPr>
              <w:rPr>
                <w:rFonts w:cs="Times New Roman"/>
                <w:color w:val="000000"/>
                <w:szCs w:val="20"/>
              </w:rPr>
            </w:pPr>
            <w:r w:rsidRPr="00224925">
              <w:rPr>
                <w:rFonts w:eastAsia="Times New Roman" w:cs="Times New Roman"/>
                <w:color w:val="000000"/>
                <w:sz w:val="22"/>
                <w:lang w:val="es-CO" w:eastAsia="es-CO"/>
              </w:rPr>
              <w:t xml:space="preserve">      Skype: myriampatriciaguzmangarcia</w:t>
            </w:r>
          </w:p>
        </w:tc>
        <w:tc>
          <w:tcPr>
            <w:tcW w:w="4752" w:type="dxa"/>
          </w:tcPr>
          <w:p w:rsidR="00380533" w:rsidRDefault="00380533" w:rsidP="00380533">
            <w:pPr>
              <w:pStyle w:val="NormalWeb"/>
              <w:spacing w:before="0" w:beforeAutospacing="0" w:after="0" w:afterAutospacing="0"/>
              <w:ind w:left="360"/>
              <w:jc w:val="both"/>
            </w:pPr>
            <w:r>
              <w:rPr>
                <w:rFonts w:ascii="Times" w:hAnsi="Times" w:cs="Times"/>
                <w:color w:val="000000"/>
                <w:sz w:val="22"/>
                <w:szCs w:val="22"/>
              </w:rPr>
              <w:t>Organización: Federación Nacional de Arroceros FEDEARROZ</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Nombre y Apellido: Ivan Camilo Avila Cortes</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 xml:space="preserve">Cargo: Asistente Subgerencia Técnica </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Dirección:</w:t>
            </w:r>
            <w:r>
              <w:rPr>
                <w:rFonts w:ascii="Times" w:hAnsi="Times" w:cs="Times"/>
                <w:color w:val="7C7C7C"/>
                <w:sz w:val="22"/>
                <w:szCs w:val="22"/>
                <w:shd w:val="clear" w:color="auto" w:fill="FFFFFF"/>
              </w:rPr>
              <w:t xml:space="preserve"> </w:t>
            </w:r>
            <w:r>
              <w:rPr>
                <w:rFonts w:ascii="Times" w:hAnsi="Times" w:cs="Times"/>
                <w:color w:val="000000"/>
                <w:sz w:val="22"/>
                <w:szCs w:val="22"/>
              </w:rPr>
              <w:t>Carrera 100 No. 25H - 55</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País: Colombia</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Tel. directo: 3153083110</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Email: ivanavila@fedearroz.com.co</w:t>
            </w:r>
          </w:p>
          <w:p w:rsidR="00380533" w:rsidRDefault="00380533" w:rsidP="00380533">
            <w:pPr>
              <w:pStyle w:val="NormalWeb"/>
              <w:spacing w:before="0" w:beforeAutospacing="0" w:after="0" w:afterAutospacing="0"/>
              <w:ind w:left="360"/>
              <w:jc w:val="both"/>
            </w:pPr>
            <w:r>
              <w:rPr>
                <w:rFonts w:ascii="Times" w:hAnsi="Times" w:cs="Times"/>
                <w:color w:val="000000"/>
                <w:sz w:val="22"/>
                <w:szCs w:val="22"/>
              </w:rPr>
              <w:t>Skype:ivan.camilo.avila.cortes</w:t>
            </w:r>
          </w:p>
          <w:p w:rsidR="00C159BB" w:rsidRPr="000B7E0D" w:rsidRDefault="00C159BB" w:rsidP="009E4AFA">
            <w:pPr>
              <w:rPr>
                <w:rFonts w:cs="Times New Roman"/>
                <w:color w:val="000000"/>
                <w:szCs w:val="20"/>
              </w:rPr>
            </w:pPr>
          </w:p>
        </w:tc>
      </w:tr>
    </w:tbl>
    <w:p w:rsidR="00C159BB" w:rsidRPr="000B7E0D" w:rsidRDefault="00C159BB" w:rsidP="00C159BB">
      <w:pPr>
        <w:rPr>
          <w:rFonts w:cs="Times New Roman"/>
        </w:rPr>
      </w:pPr>
    </w:p>
    <w:p w:rsidR="00C159BB" w:rsidRPr="000B7E0D" w:rsidRDefault="00C159BB" w:rsidP="00E87CEE">
      <w:pPr>
        <w:jc w:val="center"/>
        <w:rPr>
          <w:rFonts w:cs="Times New Roman"/>
          <w:b/>
          <w:bCs/>
        </w:rPr>
      </w:pPr>
      <w:r w:rsidRPr="000B7E0D">
        <w:rPr>
          <w:rFonts w:cs="Times New Roman"/>
          <w:b/>
          <w:bCs/>
        </w:rPr>
        <w:t>Administrador</w:t>
      </w:r>
      <w:r w:rsidR="00E87CEE" w:rsidRPr="000B7E0D">
        <w:rPr>
          <w:rFonts w:cs="Times New Roman"/>
          <w:b/>
          <w:bCs/>
        </w:rPr>
        <w:t xml:space="preserve"> </w:t>
      </w:r>
    </w:p>
    <w:p w:rsidR="00C159BB" w:rsidRPr="000B7E0D" w:rsidRDefault="00C159BB" w:rsidP="00C159BB">
      <w:pPr>
        <w:rPr>
          <w:rFonts w:cs="Times New Roman"/>
          <w:highlight w:val="lightGray"/>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C159BB" w:rsidRPr="000B7E0D" w:rsidTr="009E4AFA">
        <w:trPr>
          <w:cantSplit/>
        </w:trPr>
        <w:tc>
          <w:tcPr>
            <w:tcW w:w="9000" w:type="dxa"/>
          </w:tcPr>
          <w:p w:rsidR="0081302A" w:rsidRDefault="0081302A" w:rsidP="0081302A">
            <w:pPr>
              <w:pStyle w:val="NormalWeb"/>
              <w:spacing w:before="0" w:beforeAutospacing="0" w:after="0" w:afterAutospacing="0"/>
              <w:jc w:val="both"/>
            </w:pPr>
            <w:r>
              <w:rPr>
                <w:rFonts w:ascii="Times" w:hAnsi="Times" w:cs="Times"/>
                <w:color w:val="000000"/>
                <w:sz w:val="22"/>
                <w:szCs w:val="22"/>
              </w:rPr>
              <w:t>Organización: Federación Nacional de Arroceros FEDEARROZ</w:t>
            </w:r>
          </w:p>
          <w:p w:rsidR="0081302A" w:rsidRDefault="0081302A" w:rsidP="0081302A">
            <w:pPr>
              <w:pStyle w:val="NormalWeb"/>
              <w:spacing w:before="0" w:beforeAutospacing="0" w:after="0" w:afterAutospacing="0"/>
              <w:jc w:val="both"/>
            </w:pPr>
            <w:r>
              <w:rPr>
                <w:rFonts w:ascii="Times" w:hAnsi="Times" w:cs="Times"/>
                <w:color w:val="000000"/>
                <w:sz w:val="22"/>
                <w:szCs w:val="22"/>
              </w:rPr>
              <w:t>Nombre y Apellido: María Alexandra Gaitan Gonzalez</w:t>
            </w:r>
          </w:p>
          <w:p w:rsidR="0081302A" w:rsidRDefault="0081302A" w:rsidP="0081302A">
            <w:pPr>
              <w:pStyle w:val="NormalWeb"/>
              <w:spacing w:before="0" w:beforeAutospacing="0" w:after="0" w:afterAutospacing="0"/>
              <w:jc w:val="both"/>
            </w:pPr>
            <w:r>
              <w:rPr>
                <w:rFonts w:ascii="Times" w:hAnsi="Times" w:cs="Times"/>
                <w:color w:val="000000"/>
                <w:sz w:val="22"/>
                <w:szCs w:val="22"/>
              </w:rPr>
              <w:t>Cargo: Coordinadora de Proyectos</w:t>
            </w:r>
          </w:p>
          <w:p w:rsidR="0081302A" w:rsidRDefault="0081302A" w:rsidP="0081302A">
            <w:pPr>
              <w:pStyle w:val="NormalWeb"/>
              <w:spacing w:before="0" w:beforeAutospacing="0" w:after="0" w:afterAutospacing="0"/>
              <w:jc w:val="both"/>
            </w:pPr>
            <w:r>
              <w:rPr>
                <w:rFonts w:ascii="Times" w:hAnsi="Times" w:cs="Times"/>
                <w:color w:val="000000"/>
                <w:sz w:val="22"/>
                <w:szCs w:val="22"/>
              </w:rPr>
              <w:t>Dirección: Carrera 100 No. 25H - 55</w:t>
            </w:r>
          </w:p>
          <w:p w:rsidR="0081302A" w:rsidRDefault="0081302A" w:rsidP="0081302A">
            <w:pPr>
              <w:pStyle w:val="NormalWeb"/>
              <w:spacing w:before="0" w:beforeAutospacing="0" w:after="0" w:afterAutospacing="0"/>
              <w:jc w:val="both"/>
            </w:pPr>
            <w:r>
              <w:rPr>
                <w:rFonts w:ascii="Times" w:hAnsi="Times" w:cs="Times"/>
                <w:color w:val="000000"/>
                <w:sz w:val="22"/>
                <w:szCs w:val="22"/>
              </w:rPr>
              <w:t xml:space="preserve">País: Colombia </w:t>
            </w:r>
          </w:p>
          <w:p w:rsidR="0081302A" w:rsidRDefault="0081302A" w:rsidP="0081302A">
            <w:pPr>
              <w:pStyle w:val="NormalWeb"/>
              <w:spacing w:before="0" w:beforeAutospacing="0" w:after="0" w:afterAutospacing="0"/>
              <w:jc w:val="both"/>
            </w:pPr>
            <w:r>
              <w:rPr>
                <w:rFonts w:ascii="Times" w:hAnsi="Times" w:cs="Times"/>
                <w:color w:val="000000"/>
                <w:sz w:val="22"/>
                <w:szCs w:val="22"/>
              </w:rPr>
              <w:t>Tel.: 3125219944</w:t>
            </w:r>
          </w:p>
          <w:p w:rsidR="0081302A" w:rsidRDefault="0081302A" w:rsidP="0081302A">
            <w:pPr>
              <w:pStyle w:val="NormalWeb"/>
              <w:spacing w:before="0" w:beforeAutospacing="0" w:after="0" w:afterAutospacing="0"/>
              <w:jc w:val="both"/>
            </w:pPr>
            <w:r>
              <w:rPr>
                <w:rFonts w:ascii="Times" w:hAnsi="Times" w:cs="Times"/>
                <w:color w:val="000000"/>
                <w:sz w:val="22"/>
                <w:szCs w:val="22"/>
              </w:rPr>
              <w:t>Email: alexandragaitan@fedearroz.com.co</w:t>
            </w:r>
          </w:p>
          <w:p w:rsidR="0081302A" w:rsidRDefault="0081302A" w:rsidP="0081302A">
            <w:pPr>
              <w:pStyle w:val="NormalWeb"/>
              <w:spacing w:before="0" w:beforeAutospacing="0" w:after="0" w:afterAutospacing="0"/>
              <w:jc w:val="both"/>
            </w:pPr>
            <w:r>
              <w:rPr>
                <w:rFonts w:ascii="Times" w:hAnsi="Times" w:cs="Times"/>
                <w:color w:val="000000"/>
                <w:sz w:val="22"/>
                <w:szCs w:val="22"/>
              </w:rPr>
              <w:t>Skype:magaitango23@hotmail.com</w:t>
            </w:r>
          </w:p>
          <w:p w:rsidR="00C159BB" w:rsidRPr="000B7E0D" w:rsidRDefault="00C159BB" w:rsidP="009E4AFA">
            <w:pPr>
              <w:rPr>
                <w:rFonts w:cs="Times New Roman"/>
                <w:color w:val="000000"/>
                <w:szCs w:val="20"/>
              </w:rPr>
            </w:pPr>
          </w:p>
        </w:tc>
      </w:tr>
    </w:tbl>
    <w:p w:rsidR="00C159BB" w:rsidRPr="000B7E0D" w:rsidRDefault="00C159BB" w:rsidP="00C159BB">
      <w:pPr>
        <w:rPr>
          <w:rFonts w:cs="Times New Roman"/>
        </w:rPr>
      </w:pPr>
    </w:p>
    <w:p w:rsidR="00C159BB" w:rsidRPr="000B7E0D" w:rsidRDefault="00C159BB" w:rsidP="00C159BB">
      <w:pPr>
        <w:rPr>
          <w:rFonts w:cs="Times New Roman"/>
        </w:rPr>
      </w:pPr>
      <w:r w:rsidRPr="000B7E0D">
        <w:rPr>
          <w:rFonts w:cs="Times New Roman"/>
        </w:rPr>
        <w:br w:type="page"/>
      </w:r>
    </w:p>
    <w:p w:rsidR="00C159BB" w:rsidRPr="000B7E0D" w:rsidRDefault="00E87CEE" w:rsidP="00C159BB">
      <w:pPr>
        <w:jc w:val="center"/>
        <w:rPr>
          <w:rFonts w:cs="Times New Roman"/>
          <w:b/>
        </w:rPr>
      </w:pPr>
      <w:r w:rsidRPr="000B7E0D">
        <w:rPr>
          <w:rFonts w:cs="Times New Roman"/>
          <w:b/>
        </w:rPr>
        <w:lastRenderedPageBreak/>
        <w:t>Agencia co-ejecutora</w:t>
      </w:r>
    </w:p>
    <w:p w:rsidR="00C159BB" w:rsidRPr="000B7E0D" w:rsidRDefault="00C159BB" w:rsidP="00C159BB">
      <w:pPr>
        <w:rPr>
          <w:rFonts w:cs="Times New Roman"/>
        </w:rPr>
      </w:pPr>
    </w:p>
    <w:p w:rsidR="00C159BB" w:rsidRPr="000B7E0D" w:rsidRDefault="00C159BB" w:rsidP="00C159BB">
      <w:pPr>
        <w:rPr>
          <w:rFonts w:cs="Times New Roman"/>
          <w:b/>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C159BB" w:rsidRPr="000B7E0D" w:rsidTr="009E4AFA">
        <w:trPr>
          <w:cantSplit/>
          <w:trHeight w:val="1620"/>
          <w:jc w:val="center"/>
        </w:trPr>
        <w:tc>
          <w:tcPr>
            <w:tcW w:w="7470" w:type="dxa"/>
          </w:tcPr>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Organización: Universidad Nacional Agraria La Molina - UNALM</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Persona de contacto: Elizabeth Consuelo Heros Aguilar</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Posición o título: Profesora, Ing. Agrónoma</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Dirección: Av. La Molina, S/N, La Molina.</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País: Perú</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Tel.:516147800</w:t>
            </w:r>
          </w:p>
          <w:p w:rsidR="0081302A" w:rsidRPr="0081302A" w:rsidRDefault="0081302A" w:rsidP="0081302A">
            <w:pPr>
              <w:pStyle w:val="NormalWeb"/>
              <w:spacing w:before="0" w:beforeAutospacing="0" w:after="0" w:afterAutospacing="0"/>
              <w:jc w:val="both"/>
              <w:rPr>
                <w:sz w:val="22"/>
                <w:szCs w:val="22"/>
              </w:rPr>
            </w:pPr>
            <w:r w:rsidRPr="0081302A">
              <w:rPr>
                <w:color w:val="000000"/>
                <w:sz w:val="22"/>
                <w:szCs w:val="22"/>
              </w:rPr>
              <w:t>Email: lizheros@lamolina.edu.pe</w:t>
            </w:r>
          </w:p>
          <w:p w:rsidR="00C159BB" w:rsidRPr="0081302A" w:rsidRDefault="0081302A" w:rsidP="0081302A">
            <w:pPr>
              <w:pStyle w:val="NormalWeb"/>
              <w:spacing w:before="0" w:beforeAutospacing="0" w:after="0" w:afterAutospacing="0"/>
              <w:jc w:val="both"/>
            </w:pPr>
            <w:r w:rsidRPr="0081302A">
              <w:rPr>
                <w:color w:val="000000"/>
                <w:sz w:val="22"/>
                <w:szCs w:val="22"/>
              </w:rPr>
              <w:t>Skype:</w:t>
            </w:r>
          </w:p>
        </w:tc>
      </w:tr>
    </w:tbl>
    <w:p w:rsidR="0081302A" w:rsidRPr="0081302A" w:rsidRDefault="0081302A" w:rsidP="0081302A">
      <w:pPr>
        <w:spacing w:after="240"/>
        <w:jc w:val="left"/>
        <w:rPr>
          <w:rFonts w:eastAsia="Times New Roman" w:cs="Times New Roman"/>
          <w:sz w:val="24"/>
          <w:szCs w:val="24"/>
          <w:lang w:val="es-CO" w:eastAsia="es-CO"/>
        </w:rPr>
      </w:pPr>
    </w:p>
    <w:tbl>
      <w:tblPr>
        <w:tblW w:w="7448" w:type="dxa"/>
        <w:tblInd w:w="625" w:type="dxa"/>
        <w:tblCellMar>
          <w:top w:w="15" w:type="dxa"/>
          <w:left w:w="15" w:type="dxa"/>
          <w:bottom w:w="15" w:type="dxa"/>
          <w:right w:w="15" w:type="dxa"/>
        </w:tblCellMar>
        <w:tblLook w:val="04A0" w:firstRow="1" w:lastRow="0" w:firstColumn="1" w:lastColumn="0" w:noHBand="0" w:noVBand="1"/>
      </w:tblPr>
      <w:tblGrid>
        <w:gridCol w:w="7448"/>
      </w:tblGrid>
      <w:tr w:rsidR="0081302A" w:rsidRPr="00F13C23" w:rsidTr="0081302A">
        <w:trPr>
          <w:trHeight w:val="1933"/>
        </w:trPr>
        <w:tc>
          <w:tcPr>
            <w:tcW w:w="7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Organización: Instituto de Investigaciones Agropecuarias</w:t>
            </w:r>
          </w:p>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Persona de contacto: Oscar Mario Paredes Cárcamo</w:t>
            </w:r>
          </w:p>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Posición o título: Investigador</w:t>
            </w:r>
          </w:p>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Dirección: Avda. Vicente Méndez 515, Chillán</w:t>
            </w:r>
          </w:p>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País: CHILE</w:t>
            </w:r>
          </w:p>
          <w:p w:rsidR="0081302A" w:rsidRPr="0081302A" w:rsidRDefault="0081302A" w:rsidP="0081302A">
            <w:pPr>
              <w:rPr>
                <w:rFonts w:eastAsia="Times New Roman" w:cs="Times New Roman"/>
                <w:sz w:val="22"/>
                <w:lang w:val="es-CO" w:eastAsia="es-CO"/>
              </w:rPr>
            </w:pPr>
            <w:r w:rsidRPr="0081302A">
              <w:rPr>
                <w:rFonts w:eastAsia="Times New Roman" w:cs="Times New Roman"/>
                <w:color w:val="000000"/>
                <w:sz w:val="22"/>
                <w:lang w:val="es-CO" w:eastAsia="es-CO"/>
              </w:rPr>
              <w:t>Tel.: 56-42-2206712</w:t>
            </w:r>
          </w:p>
          <w:p w:rsidR="0081302A" w:rsidRPr="0081302A" w:rsidRDefault="0081302A" w:rsidP="0081302A">
            <w:pPr>
              <w:rPr>
                <w:rFonts w:eastAsia="Times New Roman" w:cs="Times New Roman"/>
                <w:sz w:val="22"/>
                <w:lang w:val="en-US" w:eastAsia="es-CO"/>
              </w:rPr>
            </w:pPr>
            <w:r w:rsidRPr="0081302A">
              <w:rPr>
                <w:rFonts w:eastAsia="Times New Roman" w:cs="Times New Roman"/>
                <w:color w:val="000000"/>
                <w:sz w:val="22"/>
                <w:lang w:val="en-US" w:eastAsia="es-CO"/>
              </w:rPr>
              <w:t>Email: mparedes@inia.cl</w:t>
            </w:r>
          </w:p>
          <w:p w:rsidR="0081302A" w:rsidRPr="0081302A" w:rsidRDefault="0081302A" w:rsidP="0081302A">
            <w:pPr>
              <w:rPr>
                <w:rFonts w:eastAsia="Times New Roman" w:cs="Times New Roman"/>
                <w:sz w:val="24"/>
                <w:szCs w:val="24"/>
                <w:lang w:val="en-US" w:eastAsia="es-CO"/>
              </w:rPr>
            </w:pPr>
            <w:r w:rsidRPr="0081302A">
              <w:rPr>
                <w:rFonts w:eastAsia="Times New Roman" w:cs="Times New Roman"/>
                <w:color w:val="000000"/>
                <w:sz w:val="22"/>
                <w:lang w:val="en-US" w:eastAsia="es-CO"/>
              </w:rPr>
              <w:t>Skype:</w:t>
            </w:r>
          </w:p>
        </w:tc>
      </w:tr>
    </w:tbl>
    <w:p w:rsidR="0081302A" w:rsidRPr="0081302A" w:rsidRDefault="0081302A" w:rsidP="00C159BB">
      <w:pPr>
        <w:rPr>
          <w:rFonts w:cs="Times New Roman"/>
          <w:lang w:val="en-US"/>
        </w:rPr>
      </w:pPr>
    </w:p>
    <w:p w:rsidR="0081302A" w:rsidRPr="0081302A" w:rsidRDefault="0081302A" w:rsidP="00C159BB">
      <w:pPr>
        <w:rPr>
          <w:rFonts w:cs="Times New Roman"/>
          <w:lang w:val="en-US"/>
        </w:rPr>
      </w:pPr>
    </w:p>
    <w:p w:rsidR="00C159BB" w:rsidRPr="0081302A" w:rsidRDefault="00C159BB" w:rsidP="00C159BB">
      <w:pPr>
        <w:rPr>
          <w:rFonts w:cs="Times New Roman"/>
          <w:lang w:val="en-US"/>
        </w:rPr>
      </w:pPr>
    </w:p>
    <w:p w:rsidR="00C159BB" w:rsidRPr="000B7E0D" w:rsidRDefault="00E87CEE" w:rsidP="00C159BB">
      <w:pPr>
        <w:jc w:val="center"/>
        <w:rPr>
          <w:rFonts w:cs="Times New Roman"/>
          <w:b/>
        </w:rPr>
      </w:pPr>
      <w:r w:rsidRPr="000B7E0D">
        <w:rPr>
          <w:rFonts w:cs="Times New Roman"/>
          <w:b/>
        </w:rPr>
        <w:t>Organizaciones Asociadas</w:t>
      </w:r>
    </w:p>
    <w:p w:rsidR="00C159BB" w:rsidRPr="00D04623" w:rsidRDefault="00C159BB" w:rsidP="00D04623">
      <w:pPr>
        <w:rPr>
          <w:rFonts w:cs="Times New Roman"/>
          <w:sz w:val="22"/>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C159BB" w:rsidRPr="00D04623" w:rsidTr="009E4AFA">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rsidR="00D04623" w:rsidRPr="00D04623" w:rsidRDefault="00D04623" w:rsidP="00D04623">
            <w:pPr>
              <w:pStyle w:val="NormalWeb"/>
              <w:spacing w:before="0" w:beforeAutospacing="0" w:after="0" w:afterAutospacing="0"/>
              <w:jc w:val="both"/>
              <w:rPr>
                <w:sz w:val="22"/>
                <w:szCs w:val="22"/>
              </w:rPr>
            </w:pPr>
            <w:r w:rsidRPr="00D04623">
              <w:rPr>
                <w:color w:val="000000"/>
                <w:sz w:val="22"/>
                <w:szCs w:val="22"/>
              </w:rPr>
              <w:t xml:space="preserve">Organización: Centro Internacional de Agricultura Tropical </w:t>
            </w:r>
          </w:p>
          <w:p w:rsidR="00D04623" w:rsidRPr="00D04623" w:rsidRDefault="00D04623" w:rsidP="00D04623">
            <w:pPr>
              <w:pStyle w:val="NormalWeb"/>
              <w:spacing w:before="0" w:beforeAutospacing="0" w:after="0" w:afterAutospacing="0"/>
              <w:jc w:val="both"/>
              <w:rPr>
                <w:sz w:val="22"/>
                <w:szCs w:val="22"/>
              </w:rPr>
            </w:pPr>
            <w:r w:rsidRPr="00D04623">
              <w:rPr>
                <w:color w:val="000000"/>
                <w:sz w:val="22"/>
                <w:szCs w:val="22"/>
              </w:rPr>
              <w:t>Persona de contacto: Ngonidzashe Chirinda</w:t>
            </w:r>
          </w:p>
          <w:p w:rsidR="00D04623" w:rsidRPr="00D04623" w:rsidRDefault="00D04623" w:rsidP="00D04623">
            <w:pPr>
              <w:pStyle w:val="NormalWeb"/>
              <w:spacing w:before="0" w:beforeAutospacing="0" w:after="0" w:afterAutospacing="0"/>
              <w:jc w:val="both"/>
              <w:rPr>
                <w:sz w:val="22"/>
                <w:szCs w:val="22"/>
              </w:rPr>
            </w:pPr>
            <w:r w:rsidRPr="00D04623">
              <w:rPr>
                <w:color w:val="000000"/>
                <w:sz w:val="22"/>
                <w:szCs w:val="22"/>
              </w:rPr>
              <w:t xml:space="preserve">Posición o título: Líder científico </w:t>
            </w:r>
          </w:p>
          <w:p w:rsidR="00D04623" w:rsidRPr="00D04623" w:rsidRDefault="00D04623" w:rsidP="00D04623">
            <w:pPr>
              <w:pStyle w:val="NormalWeb"/>
              <w:spacing w:before="0" w:beforeAutospacing="0" w:after="0" w:afterAutospacing="0"/>
              <w:jc w:val="both"/>
              <w:rPr>
                <w:sz w:val="22"/>
                <w:szCs w:val="22"/>
              </w:rPr>
            </w:pPr>
            <w:r w:rsidRPr="00D04623">
              <w:rPr>
                <w:color w:val="000000"/>
                <w:sz w:val="22"/>
                <w:szCs w:val="22"/>
              </w:rPr>
              <w:t xml:space="preserve">Dirección: Km 17 recta Cali - Palmira </w:t>
            </w:r>
          </w:p>
          <w:p w:rsidR="00D04623" w:rsidRPr="00D04623" w:rsidRDefault="00D04623" w:rsidP="00D04623">
            <w:pPr>
              <w:pStyle w:val="NormalWeb"/>
              <w:spacing w:before="0" w:beforeAutospacing="0" w:after="0" w:afterAutospacing="0"/>
              <w:jc w:val="both"/>
              <w:rPr>
                <w:sz w:val="22"/>
                <w:szCs w:val="22"/>
              </w:rPr>
            </w:pPr>
            <w:r w:rsidRPr="00D04623">
              <w:rPr>
                <w:color w:val="000000"/>
                <w:sz w:val="22"/>
                <w:szCs w:val="22"/>
              </w:rPr>
              <w:t xml:space="preserve">País: Colombia </w:t>
            </w:r>
          </w:p>
          <w:p w:rsidR="00D04623" w:rsidRPr="00D04623" w:rsidRDefault="00D04623" w:rsidP="00D04623">
            <w:pPr>
              <w:pStyle w:val="NormalWeb"/>
              <w:spacing w:before="0" w:beforeAutospacing="0" w:after="0" w:afterAutospacing="0"/>
              <w:jc w:val="both"/>
              <w:rPr>
                <w:sz w:val="22"/>
                <w:szCs w:val="22"/>
                <w:lang w:val="en-US"/>
              </w:rPr>
            </w:pPr>
            <w:r w:rsidRPr="00D04623">
              <w:rPr>
                <w:color w:val="000000"/>
                <w:sz w:val="22"/>
                <w:szCs w:val="22"/>
                <w:lang w:val="en-US"/>
              </w:rPr>
              <w:t xml:space="preserve">Tel.: 56 -32 - 4450000 </w:t>
            </w:r>
          </w:p>
          <w:p w:rsidR="00D04623" w:rsidRPr="00D04623" w:rsidRDefault="00D04623" w:rsidP="00D04623">
            <w:pPr>
              <w:pStyle w:val="NormalWeb"/>
              <w:spacing w:before="0" w:beforeAutospacing="0" w:after="0" w:afterAutospacing="0"/>
              <w:jc w:val="both"/>
              <w:rPr>
                <w:sz w:val="22"/>
                <w:szCs w:val="22"/>
                <w:lang w:val="en-US"/>
              </w:rPr>
            </w:pPr>
            <w:r w:rsidRPr="00D04623">
              <w:rPr>
                <w:color w:val="000000"/>
                <w:sz w:val="22"/>
                <w:szCs w:val="22"/>
                <w:lang w:val="en-US"/>
              </w:rPr>
              <w:t>Email: n.chirinda@cgiar.org</w:t>
            </w:r>
          </w:p>
          <w:p w:rsidR="00C159BB" w:rsidRPr="00D04623" w:rsidRDefault="00D04623" w:rsidP="00D04623">
            <w:pPr>
              <w:pStyle w:val="NormalWeb"/>
              <w:spacing w:before="0" w:beforeAutospacing="0" w:after="0" w:afterAutospacing="0"/>
              <w:jc w:val="both"/>
              <w:rPr>
                <w:sz w:val="22"/>
                <w:szCs w:val="22"/>
              </w:rPr>
            </w:pPr>
            <w:r w:rsidRPr="00D04623">
              <w:rPr>
                <w:color w:val="000000"/>
                <w:sz w:val="22"/>
                <w:szCs w:val="22"/>
              </w:rPr>
              <w:t>Skype: ngonidzashe.chirinda</w:t>
            </w:r>
          </w:p>
        </w:tc>
      </w:tr>
    </w:tbl>
    <w:p w:rsidR="00D04623" w:rsidRPr="00D04623" w:rsidRDefault="00D04623" w:rsidP="00D04623">
      <w:pPr>
        <w:spacing w:after="240"/>
        <w:jc w:val="left"/>
        <w:rPr>
          <w:rFonts w:eastAsia="Times New Roman" w:cs="Times New Roman"/>
          <w:sz w:val="24"/>
          <w:szCs w:val="24"/>
          <w:lang w:val="es-CO" w:eastAsia="es-CO"/>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380"/>
      </w:tblGrid>
      <w:tr w:rsidR="00D04623" w:rsidRPr="00D04623" w:rsidTr="00D04623">
        <w:trPr>
          <w:trHeight w:val="2100"/>
        </w:trPr>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 xml:space="preserve">Organización: Alianza Global de Investigación para los Gases de Efecto Invernadero de la Agricultura </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Persona de contacto: Ing. Agr. Gonzalo Zorrilla</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Posición o título:  Coordinador del Sub-Grupo Américas del PRRG-GRA</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Dirección:  Ruta 8, km 281 - Treinta y Tres - 33000</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País: Uruguay</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Tel.: +598 91770564</w:t>
            </w:r>
          </w:p>
          <w:p w:rsidR="00D04623" w:rsidRPr="00D04623" w:rsidRDefault="00D04623" w:rsidP="00D04623">
            <w:pPr>
              <w:rPr>
                <w:rFonts w:eastAsia="Times New Roman" w:cs="Times New Roman"/>
                <w:sz w:val="22"/>
                <w:lang w:val="es-CO" w:eastAsia="es-CO"/>
              </w:rPr>
            </w:pPr>
            <w:r w:rsidRPr="00D04623">
              <w:rPr>
                <w:rFonts w:eastAsia="Times New Roman" w:cs="Times New Roman"/>
                <w:color w:val="000000"/>
                <w:sz w:val="22"/>
                <w:lang w:val="es-CO" w:eastAsia="es-CO"/>
              </w:rPr>
              <w:t>Email: gzorrilla@inia.org.uy</w:t>
            </w:r>
          </w:p>
          <w:p w:rsidR="00D04623" w:rsidRPr="00D04623" w:rsidRDefault="00D04623" w:rsidP="00D04623">
            <w:pPr>
              <w:rPr>
                <w:rFonts w:eastAsia="Times New Roman" w:cs="Times New Roman"/>
                <w:sz w:val="24"/>
                <w:szCs w:val="24"/>
                <w:lang w:val="es-CO" w:eastAsia="es-CO"/>
              </w:rPr>
            </w:pPr>
            <w:r w:rsidRPr="00D04623">
              <w:rPr>
                <w:rFonts w:eastAsia="Times New Roman" w:cs="Times New Roman"/>
                <w:color w:val="000000"/>
                <w:sz w:val="22"/>
                <w:lang w:val="es-CO" w:eastAsia="es-CO"/>
              </w:rPr>
              <w:t>Skype: flar-gonzalo</w:t>
            </w:r>
          </w:p>
        </w:tc>
      </w:tr>
    </w:tbl>
    <w:p w:rsidR="00D04623" w:rsidRDefault="00D04623">
      <w:pPr>
        <w:spacing w:after="200" w:line="276" w:lineRule="auto"/>
        <w:jc w:val="left"/>
        <w:rPr>
          <w:rFonts w:cs="Times New Roman"/>
        </w:rPr>
      </w:pPr>
    </w:p>
    <w:p w:rsidR="00D04623" w:rsidRPr="00D04623" w:rsidRDefault="00D04623" w:rsidP="00D04623">
      <w:pPr>
        <w:spacing w:after="240"/>
        <w:jc w:val="left"/>
        <w:rPr>
          <w:rFonts w:eastAsia="Times New Roman" w:cs="Times New Roman"/>
          <w:sz w:val="24"/>
          <w:szCs w:val="24"/>
          <w:lang w:val="es-CO" w:eastAsia="es-CO"/>
        </w:rPr>
      </w:pPr>
      <w:r>
        <w:rPr>
          <w:rFonts w:cs="Times New Roman"/>
        </w:rPr>
        <w:tab/>
      </w:r>
    </w:p>
    <w:tbl>
      <w:tblPr>
        <w:tblW w:w="0" w:type="auto"/>
        <w:tblInd w:w="535" w:type="dxa"/>
        <w:tblCellMar>
          <w:top w:w="15" w:type="dxa"/>
          <w:left w:w="15" w:type="dxa"/>
          <w:bottom w:w="15" w:type="dxa"/>
          <w:right w:w="15" w:type="dxa"/>
        </w:tblCellMar>
        <w:tblLook w:val="04A0" w:firstRow="1" w:lastRow="0" w:firstColumn="1" w:lastColumn="0" w:noHBand="0" w:noVBand="1"/>
      </w:tblPr>
      <w:tblGrid>
        <w:gridCol w:w="7560"/>
      </w:tblGrid>
      <w:tr w:rsidR="00D04623" w:rsidRPr="00D04623" w:rsidTr="00390D36">
        <w:trPr>
          <w:trHeight w:val="1620"/>
        </w:trPr>
        <w:tc>
          <w:tcPr>
            <w:tcW w:w="7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04623" w:rsidRPr="00D04623" w:rsidRDefault="00D04623" w:rsidP="00390D36">
            <w:pPr>
              <w:rPr>
                <w:rFonts w:eastAsia="Times New Roman" w:cs="Times New Roman"/>
                <w:sz w:val="22"/>
                <w:lang w:val="es-CO" w:eastAsia="es-CO"/>
              </w:rPr>
            </w:pPr>
            <w:r w:rsidRPr="00D04623">
              <w:rPr>
                <w:rFonts w:eastAsia="Times New Roman" w:cs="Times New Roman"/>
                <w:color w:val="000000"/>
                <w:sz w:val="22"/>
                <w:lang w:val="es-CO" w:eastAsia="es-CO"/>
              </w:rPr>
              <w:lastRenderedPageBreak/>
              <w:t xml:space="preserve">Organización: Fondo Latinoamericano para Arroz de Riego </w:t>
            </w:r>
          </w:p>
          <w:p w:rsidR="00D04623" w:rsidRPr="00D04623" w:rsidRDefault="00D04623" w:rsidP="00390D36">
            <w:pPr>
              <w:rPr>
                <w:rFonts w:eastAsia="Times New Roman" w:cs="Times New Roman"/>
                <w:sz w:val="22"/>
                <w:lang w:val="es-CO" w:eastAsia="es-CO"/>
              </w:rPr>
            </w:pPr>
            <w:r w:rsidRPr="00D04623">
              <w:rPr>
                <w:rFonts w:eastAsia="Times New Roman" w:cs="Times New Roman"/>
                <w:color w:val="000000"/>
                <w:sz w:val="22"/>
                <w:lang w:val="es-CO" w:eastAsia="es-CO"/>
              </w:rPr>
              <w:t>Persona de contacto: Eduardo Graterol</w:t>
            </w:r>
          </w:p>
          <w:p w:rsidR="00D04623" w:rsidRPr="00D04623" w:rsidRDefault="00D04623" w:rsidP="00390D36">
            <w:pPr>
              <w:rPr>
                <w:rFonts w:eastAsia="Times New Roman" w:cs="Times New Roman"/>
                <w:sz w:val="22"/>
                <w:lang w:val="es-CO" w:eastAsia="es-CO"/>
              </w:rPr>
            </w:pPr>
            <w:r w:rsidRPr="00D04623">
              <w:rPr>
                <w:rFonts w:eastAsia="Times New Roman" w:cs="Times New Roman"/>
                <w:color w:val="000000"/>
                <w:sz w:val="22"/>
                <w:lang w:val="es-CO" w:eastAsia="es-CO"/>
              </w:rPr>
              <w:t>Posición o título: Director Ejecutivo</w:t>
            </w:r>
          </w:p>
          <w:p w:rsidR="00D04623" w:rsidRPr="00D04623" w:rsidRDefault="00D04623" w:rsidP="00390D36">
            <w:pPr>
              <w:rPr>
                <w:rFonts w:eastAsia="Times New Roman" w:cs="Times New Roman"/>
                <w:sz w:val="22"/>
                <w:lang w:val="es-CO" w:eastAsia="es-CO"/>
              </w:rPr>
            </w:pPr>
            <w:r w:rsidRPr="00D04623">
              <w:rPr>
                <w:rFonts w:eastAsia="Times New Roman" w:cs="Times New Roman"/>
                <w:color w:val="000000"/>
                <w:sz w:val="22"/>
                <w:lang w:val="es-CO" w:eastAsia="es-CO"/>
              </w:rPr>
              <w:t xml:space="preserve">Dirección: Km 17 recta Cali - Palmira </w:t>
            </w:r>
          </w:p>
          <w:p w:rsidR="00D04623" w:rsidRPr="00D04623" w:rsidRDefault="00D04623" w:rsidP="00390D36">
            <w:pPr>
              <w:rPr>
                <w:rFonts w:eastAsia="Times New Roman" w:cs="Times New Roman"/>
                <w:sz w:val="22"/>
                <w:lang w:val="es-CO" w:eastAsia="es-CO"/>
              </w:rPr>
            </w:pPr>
            <w:r w:rsidRPr="00D04623">
              <w:rPr>
                <w:rFonts w:eastAsia="Times New Roman" w:cs="Times New Roman"/>
                <w:color w:val="000000"/>
                <w:sz w:val="22"/>
                <w:lang w:val="es-CO" w:eastAsia="es-CO"/>
              </w:rPr>
              <w:t>País: Colombia</w:t>
            </w:r>
          </w:p>
          <w:p w:rsidR="00D04623" w:rsidRPr="00D04623" w:rsidRDefault="00D04623" w:rsidP="00390D36">
            <w:pPr>
              <w:rPr>
                <w:rFonts w:eastAsia="Times New Roman" w:cs="Times New Roman"/>
                <w:sz w:val="22"/>
                <w:lang w:val="en-US" w:eastAsia="es-CO"/>
              </w:rPr>
            </w:pPr>
            <w:r w:rsidRPr="00D04623">
              <w:rPr>
                <w:rFonts w:eastAsia="Times New Roman" w:cs="Times New Roman"/>
                <w:color w:val="000000"/>
                <w:sz w:val="22"/>
                <w:lang w:val="en-US" w:eastAsia="es-CO"/>
              </w:rPr>
              <w:t>Tel. +57 2 4450093</w:t>
            </w:r>
          </w:p>
          <w:p w:rsidR="00D04623" w:rsidRPr="00D04623" w:rsidRDefault="00D04623" w:rsidP="00390D36">
            <w:pPr>
              <w:rPr>
                <w:rFonts w:eastAsia="Times New Roman" w:cs="Times New Roman"/>
                <w:sz w:val="22"/>
                <w:lang w:val="en-US" w:eastAsia="es-CO"/>
              </w:rPr>
            </w:pPr>
            <w:r w:rsidRPr="00D04623">
              <w:rPr>
                <w:rFonts w:eastAsia="Times New Roman" w:cs="Times New Roman"/>
                <w:color w:val="000000"/>
                <w:sz w:val="22"/>
                <w:lang w:val="en-US" w:eastAsia="es-CO"/>
              </w:rPr>
              <w:t>Email: e.j.graterol@cgiar.org</w:t>
            </w:r>
          </w:p>
          <w:p w:rsidR="00D04623" w:rsidRPr="00D04623" w:rsidRDefault="00D04623" w:rsidP="00390D36">
            <w:pPr>
              <w:rPr>
                <w:rFonts w:eastAsia="Times New Roman" w:cs="Times New Roman"/>
                <w:sz w:val="24"/>
                <w:szCs w:val="24"/>
                <w:lang w:val="es-CO" w:eastAsia="es-CO"/>
              </w:rPr>
            </w:pPr>
            <w:r w:rsidRPr="00D04623">
              <w:rPr>
                <w:rFonts w:eastAsia="Times New Roman" w:cs="Times New Roman"/>
                <w:color w:val="000000"/>
                <w:sz w:val="22"/>
                <w:lang w:val="es-CO" w:eastAsia="es-CO"/>
              </w:rPr>
              <w:t>Skype: flar-eduardo</w:t>
            </w:r>
          </w:p>
        </w:tc>
      </w:tr>
    </w:tbl>
    <w:p w:rsidR="00D04623" w:rsidRDefault="00D04623" w:rsidP="00D04623">
      <w:pPr>
        <w:tabs>
          <w:tab w:val="left" w:pos="1389"/>
        </w:tabs>
        <w:rPr>
          <w:rFonts w:cs="Times New Roman"/>
        </w:rPr>
      </w:pPr>
    </w:p>
    <w:p w:rsidR="00985AD4" w:rsidRPr="00D04623" w:rsidRDefault="00D04623" w:rsidP="00D04623">
      <w:pPr>
        <w:tabs>
          <w:tab w:val="left" w:pos="1389"/>
        </w:tabs>
        <w:rPr>
          <w:rFonts w:cs="Times New Roman"/>
        </w:rPr>
        <w:sectPr w:rsidR="00985AD4" w:rsidRPr="00D04623" w:rsidSect="00F96929">
          <w:headerReference w:type="default" r:id="rId10"/>
          <w:footerReference w:type="default" r:id="rId11"/>
          <w:pgSz w:w="12240" w:h="15840"/>
          <w:pgMar w:top="1440" w:right="1800" w:bottom="1440" w:left="1800" w:header="720" w:footer="720" w:gutter="0"/>
          <w:cols w:space="720"/>
          <w:docGrid w:linePitch="360"/>
        </w:sectPr>
      </w:pPr>
      <w:r>
        <w:rPr>
          <w:rFonts w:cs="Times New Roman"/>
        </w:rPr>
        <w:tab/>
      </w:r>
    </w:p>
    <w:p w:rsidR="00B82358" w:rsidRPr="00AE5227" w:rsidRDefault="00B82358" w:rsidP="00405213">
      <w:pPr>
        <w:pStyle w:val="ListParagraph"/>
        <w:numPr>
          <w:ilvl w:val="1"/>
          <w:numId w:val="13"/>
        </w:numPr>
        <w:rPr>
          <w:rFonts w:cs="Times New Roman"/>
          <w:sz w:val="22"/>
        </w:rPr>
      </w:pPr>
      <w:r w:rsidRPr="00AE5227">
        <w:rPr>
          <w:rFonts w:cs="Times New Roman"/>
          <w:sz w:val="22"/>
        </w:rPr>
        <w:lastRenderedPageBreak/>
        <w:t xml:space="preserve">Anexo </w:t>
      </w:r>
      <w:r w:rsidR="00DC4049" w:rsidRPr="00AE5227">
        <w:rPr>
          <w:rFonts w:cs="Times New Roman"/>
          <w:sz w:val="22"/>
        </w:rPr>
        <w:t>I</w:t>
      </w:r>
      <w:r w:rsidRPr="00AE5227">
        <w:rPr>
          <w:rFonts w:cs="Times New Roman"/>
          <w:sz w:val="22"/>
        </w:rPr>
        <w:t>I. Marco Lógico</w:t>
      </w:r>
    </w:p>
    <w:p w:rsidR="001F3238" w:rsidRPr="000B7E0D" w:rsidRDefault="001F3238" w:rsidP="00B82358">
      <w:pPr>
        <w:spacing w:before="120" w:after="120"/>
        <w:rPr>
          <w:rFonts w:cs="Times New Roman"/>
        </w:rPr>
      </w:pPr>
    </w:p>
    <w:tbl>
      <w:tblPr>
        <w:tblW w:w="12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65"/>
        <w:gridCol w:w="1965"/>
        <w:gridCol w:w="2070"/>
        <w:gridCol w:w="1995"/>
        <w:gridCol w:w="1635"/>
        <w:gridCol w:w="1815"/>
      </w:tblGrid>
      <w:tr w:rsidR="00743A0B" w:rsidRPr="00143CEC" w:rsidTr="00743A0B">
        <w:trPr>
          <w:trHeight w:val="480"/>
          <w:tblHeader/>
        </w:trPr>
        <w:tc>
          <w:tcPr>
            <w:tcW w:w="3065" w:type="dxa"/>
            <w:shd w:val="clear" w:color="auto" w:fill="auto"/>
            <w:vAlign w:val="center"/>
          </w:tcPr>
          <w:p w:rsidR="00743A0B" w:rsidRPr="00143CEC" w:rsidRDefault="00743A0B" w:rsidP="00743A0B">
            <w:pPr>
              <w:rPr>
                <w:rFonts w:cs="Times New Roman"/>
                <w:sz w:val="18"/>
                <w:szCs w:val="18"/>
              </w:rPr>
            </w:pPr>
          </w:p>
        </w:tc>
        <w:tc>
          <w:tcPr>
            <w:tcW w:w="1965" w:type="dxa"/>
          </w:tcPr>
          <w:p w:rsidR="00743A0B" w:rsidRPr="00143CEC" w:rsidRDefault="00743A0B" w:rsidP="00743A0B">
            <w:pPr>
              <w:jc w:val="center"/>
              <w:rPr>
                <w:rFonts w:cs="Times New Roman"/>
                <w:b/>
                <w:sz w:val="18"/>
                <w:szCs w:val="18"/>
              </w:rPr>
            </w:pPr>
            <w:r w:rsidRPr="00143CEC">
              <w:rPr>
                <w:rFonts w:cs="Times New Roman"/>
                <w:b/>
                <w:sz w:val="18"/>
                <w:szCs w:val="18"/>
              </w:rPr>
              <w:t>Resultados</w:t>
            </w:r>
          </w:p>
        </w:tc>
        <w:tc>
          <w:tcPr>
            <w:tcW w:w="2070" w:type="dxa"/>
          </w:tcPr>
          <w:p w:rsidR="00743A0B" w:rsidRPr="00143CEC" w:rsidRDefault="00743A0B" w:rsidP="00743A0B">
            <w:pPr>
              <w:jc w:val="center"/>
              <w:rPr>
                <w:rFonts w:cs="Times New Roman"/>
                <w:b/>
                <w:sz w:val="18"/>
                <w:szCs w:val="18"/>
              </w:rPr>
            </w:pPr>
            <w:r w:rsidRPr="00143CEC">
              <w:rPr>
                <w:rFonts w:cs="Times New Roman"/>
                <w:b/>
                <w:sz w:val="18"/>
                <w:szCs w:val="18"/>
              </w:rPr>
              <w:t xml:space="preserve">Producto </w:t>
            </w:r>
          </w:p>
        </w:tc>
        <w:tc>
          <w:tcPr>
            <w:tcW w:w="1995" w:type="dxa"/>
            <w:shd w:val="clear" w:color="auto" w:fill="auto"/>
          </w:tcPr>
          <w:p w:rsidR="00743A0B" w:rsidRPr="00143CEC" w:rsidRDefault="00743A0B" w:rsidP="00743A0B">
            <w:pPr>
              <w:jc w:val="center"/>
              <w:rPr>
                <w:rFonts w:cs="Times New Roman"/>
                <w:b/>
                <w:sz w:val="18"/>
                <w:szCs w:val="18"/>
              </w:rPr>
            </w:pPr>
            <w:r w:rsidRPr="00143CEC">
              <w:rPr>
                <w:rFonts w:cs="Times New Roman"/>
                <w:b/>
                <w:sz w:val="18"/>
                <w:szCs w:val="18"/>
              </w:rPr>
              <w:t>Indicadores Objetivamente Verificables (IOV)</w:t>
            </w:r>
          </w:p>
        </w:tc>
        <w:tc>
          <w:tcPr>
            <w:tcW w:w="1635" w:type="dxa"/>
            <w:shd w:val="clear" w:color="auto" w:fill="auto"/>
          </w:tcPr>
          <w:p w:rsidR="00743A0B" w:rsidRPr="00143CEC" w:rsidRDefault="00743A0B" w:rsidP="00743A0B">
            <w:pPr>
              <w:jc w:val="center"/>
              <w:rPr>
                <w:rFonts w:cs="Times New Roman"/>
                <w:b/>
                <w:sz w:val="18"/>
                <w:szCs w:val="18"/>
              </w:rPr>
            </w:pPr>
            <w:r w:rsidRPr="00143CEC">
              <w:rPr>
                <w:rFonts w:cs="Times New Roman"/>
                <w:b/>
                <w:sz w:val="18"/>
                <w:szCs w:val="18"/>
              </w:rPr>
              <w:t>Medios de Verificación (MDV)</w:t>
            </w:r>
          </w:p>
        </w:tc>
        <w:tc>
          <w:tcPr>
            <w:tcW w:w="1815" w:type="dxa"/>
            <w:shd w:val="clear" w:color="auto" w:fill="auto"/>
          </w:tcPr>
          <w:p w:rsidR="00743A0B" w:rsidRPr="00143CEC" w:rsidRDefault="00743A0B" w:rsidP="00743A0B">
            <w:pPr>
              <w:jc w:val="center"/>
              <w:rPr>
                <w:rFonts w:cs="Times New Roman"/>
                <w:b/>
                <w:sz w:val="18"/>
                <w:szCs w:val="18"/>
              </w:rPr>
            </w:pPr>
            <w:r w:rsidRPr="00143CEC">
              <w:rPr>
                <w:rFonts w:cs="Times New Roman"/>
                <w:b/>
                <w:sz w:val="18"/>
                <w:szCs w:val="18"/>
              </w:rPr>
              <w:t xml:space="preserve">Supuestos </w:t>
            </w:r>
          </w:p>
        </w:tc>
      </w:tr>
      <w:tr w:rsidR="00743A0B" w:rsidRPr="00143CEC" w:rsidTr="00743A0B">
        <w:trPr>
          <w:trHeight w:val="240"/>
        </w:trPr>
        <w:tc>
          <w:tcPr>
            <w:tcW w:w="3065" w:type="dxa"/>
            <w:shd w:val="clear" w:color="auto" w:fill="auto"/>
            <w:vAlign w:val="center"/>
          </w:tcPr>
          <w:p w:rsidR="00743A0B" w:rsidRPr="00143CEC" w:rsidRDefault="00743A0B" w:rsidP="00743A0B">
            <w:pPr>
              <w:jc w:val="center"/>
              <w:rPr>
                <w:rFonts w:cs="Times New Roman"/>
                <w:sz w:val="18"/>
                <w:szCs w:val="18"/>
              </w:rPr>
            </w:pPr>
            <w:r w:rsidRPr="00143CEC">
              <w:rPr>
                <w:rFonts w:cs="Times New Roman"/>
                <w:sz w:val="18"/>
                <w:szCs w:val="18"/>
              </w:rPr>
              <w:t>OBJETIVO GENERAL (FIN)</w:t>
            </w:r>
          </w:p>
        </w:tc>
        <w:tc>
          <w:tcPr>
            <w:tcW w:w="9480" w:type="dxa"/>
            <w:gridSpan w:val="5"/>
            <w:vAlign w:val="center"/>
          </w:tcPr>
          <w:p w:rsidR="00743A0B" w:rsidRPr="00143CEC" w:rsidRDefault="00743A0B" w:rsidP="00743A0B">
            <w:pPr>
              <w:rPr>
                <w:rFonts w:cs="Times New Roman"/>
                <w:sz w:val="18"/>
                <w:szCs w:val="18"/>
              </w:rPr>
            </w:pPr>
            <w:r w:rsidRPr="00143CEC">
              <w:rPr>
                <w:rFonts w:cs="Times New Roman"/>
                <w:sz w:val="18"/>
                <w:szCs w:val="18"/>
              </w:rPr>
              <w:t>Validar localmente los beneficios de una producción eficiente, competitiva y con un menor impacto ambiental bajo la implementación de AWD en cultivos de arroz en fincas de pequeños productores en Colombia, Perú y Chile.</w:t>
            </w:r>
          </w:p>
        </w:tc>
      </w:tr>
      <w:tr w:rsidR="00743A0B" w:rsidRPr="00143CEC" w:rsidTr="00743A0B">
        <w:trPr>
          <w:trHeight w:val="240"/>
        </w:trPr>
        <w:tc>
          <w:tcPr>
            <w:tcW w:w="3065" w:type="dxa"/>
            <w:shd w:val="clear" w:color="auto" w:fill="auto"/>
            <w:vAlign w:val="center"/>
          </w:tcPr>
          <w:p w:rsidR="00743A0B" w:rsidRPr="00143CEC" w:rsidRDefault="00743A0B" w:rsidP="00743A0B">
            <w:pPr>
              <w:jc w:val="center"/>
              <w:rPr>
                <w:rFonts w:cs="Times New Roman"/>
                <w:sz w:val="18"/>
                <w:szCs w:val="18"/>
              </w:rPr>
            </w:pPr>
            <w:r w:rsidRPr="00143CEC">
              <w:rPr>
                <w:rFonts w:cs="Times New Roman"/>
                <w:sz w:val="18"/>
                <w:szCs w:val="18"/>
              </w:rPr>
              <w:t>OBJETIVOS ESPECÍFICOS (PROPÓSITO):</w:t>
            </w:r>
          </w:p>
        </w:tc>
        <w:tc>
          <w:tcPr>
            <w:tcW w:w="9480" w:type="dxa"/>
            <w:gridSpan w:val="5"/>
          </w:tcPr>
          <w:p w:rsidR="00743A0B" w:rsidRPr="00143CEC" w:rsidRDefault="00743A0B" w:rsidP="00743A0B">
            <w:pPr>
              <w:numPr>
                <w:ilvl w:val="0"/>
                <w:numId w:val="14"/>
              </w:numPr>
              <w:pBdr>
                <w:top w:val="nil"/>
                <w:left w:val="nil"/>
                <w:bottom w:val="nil"/>
                <w:right w:val="nil"/>
                <w:between w:val="nil"/>
              </w:pBdr>
              <w:spacing w:before="120"/>
              <w:contextualSpacing/>
              <w:rPr>
                <w:rFonts w:cs="Times New Roman"/>
                <w:sz w:val="18"/>
                <w:szCs w:val="18"/>
              </w:rPr>
            </w:pPr>
            <w:r w:rsidRPr="00143CEC">
              <w:rPr>
                <w:rFonts w:cs="Times New Roman"/>
                <w:sz w:val="18"/>
                <w:szCs w:val="18"/>
              </w:rPr>
              <w:t>Evaluar la eficiencia del recurso hídrico, rendimiento y las emisiones GEI con diferentes estrategias de manejo de agua</w:t>
            </w:r>
          </w:p>
          <w:p w:rsidR="00743A0B" w:rsidRPr="00143CEC" w:rsidRDefault="00743A0B" w:rsidP="00743A0B">
            <w:pPr>
              <w:numPr>
                <w:ilvl w:val="0"/>
                <w:numId w:val="14"/>
              </w:numPr>
              <w:pBdr>
                <w:top w:val="nil"/>
                <w:left w:val="nil"/>
                <w:bottom w:val="nil"/>
                <w:right w:val="nil"/>
                <w:between w:val="nil"/>
              </w:pBdr>
              <w:contextualSpacing/>
              <w:rPr>
                <w:rFonts w:cs="Times New Roman"/>
                <w:sz w:val="18"/>
                <w:szCs w:val="18"/>
              </w:rPr>
            </w:pPr>
            <w:r w:rsidRPr="00143CEC">
              <w:rPr>
                <w:rFonts w:cs="Times New Roman"/>
                <w:sz w:val="18"/>
                <w:szCs w:val="18"/>
              </w:rPr>
              <w:t>cuantificar la relación costo beneficio de diferentes tratamientos de manejo del recurso hídrico</w:t>
            </w:r>
          </w:p>
          <w:p w:rsidR="00743A0B" w:rsidRPr="00143CEC" w:rsidRDefault="00743A0B" w:rsidP="00743A0B">
            <w:pPr>
              <w:numPr>
                <w:ilvl w:val="0"/>
                <w:numId w:val="14"/>
              </w:numPr>
              <w:pBdr>
                <w:top w:val="nil"/>
                <w:left w:val="nil"/>
                <w:bottom w:val="nil"/>
                <w:right w:val="nil"/>
                <w:between w:val="nil"/>
              </w:pBdr>
              <w:contextualSpacing/>
              <w:rPr>
                <w:rFonts w:cs="Times New Roman"/>
                <w:sz w:val="18"/>
                <w:szCs w:val="18"/>
              </w:rPr>
            </w:pPr>
            <w:r w:rsidRPr="00143CEC">
              <w:rPr>
                <w:rFonts w:cs="Times New Roman"/>
                <w:sz w:val="18"/>
                <w:szCs w:val="18"/>
              </w:rPr>
              <w:t xml:space="preserve"> Modelar las emisiones de GEI de los diferentes tratamientos evaluados en diferentes escenarios de clima y condición de suelo</w:t>
            </w:r>
          </w:p>
          <w:p w:rsidR="00743A0B" w:rsidRPr="00143CEC" w:rsidRDefault="00743A0B" w:rsidP="00743A0B">
            <w:pPr>
              <w:numPr>
                <w:ilvl w:val="0"/>
                <w:numId w:val="14"/>
              </w:numPr>
              <w:pBdr>
                <w:top w:val="nil"/>
                <w:left w:val="nil"/>
                <w:bottom w:val="nil"/>
                <w:right w:val="nil"/>
                <w:between w:val="nil"/>
              </w:pBdr>
              <w:rPr>
                <w:rFonts w:cs="Times New Roman"/>
                <w:sz w:val="18"/>
                <w:szCs w:val="18"/>
              </w:rPr>
            </w:pPr>
            <w:r w:rsidRPr="00143CEC">
              <w:rPr>
                <w:rFonts w:cs="Times New Roman"/>
                <w:sz w:val="18"/>
                <w:szCs w:val="18"/>
              </w:rPr>
              <w:t>Realizar actividades de extensión sobre las recomendaciones surgidas del proyecto, dirigidas a los productores familiares de arroz.</w:t>
            </w: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CP1: Selección de fincas y evaluaciones biofísicas</w:t>
            </w:r>
          </w:p>
        </w:tc>
        <w:tc>
          <w:tcPr>
            <w:tcW w:w="1965" w:type="dxa"/>
            <w:vAlign w:val="center"/>
          </w:tcPr>
          <w:p w:rsidR="00743A0B" w:rsidRPr="00143CEC" w:rsidRDefault="00743A0B" w:rsidP="00743A0B">
            <w:pPr>
              <w:jc w:val="left"/>
              <w:rPr>
                <w:rFonts w:cs="Times New Roman"/>
                <w:sz w:val="18"/>
                <w:szCs w:val="18"/>
              </w:rPr>
            </w:pPr>
            <w:r w:rsidRPr="00143CEC">
              <w:rPr>
                <w:rFonts w:cs="Times New Roman"/>
                <w:sz w:val="18"/>
                <w:szCs w:val="18"/>
              </w:rPr>
              <w:t>Impactos de AWD respecto a los indicadores de sostenibilidad en los tres países.</w:t>
            </w:r>
          </w:p>
        </w:tc>
        <w:tc>
          <w:tcPr>
            <w:tcW w:w="2070" w:type="dxa"/>
            <w:vAlign w:val="center"/>
          </w:tcPr>
          <w:p w:rsidR="00743A0B" w:rsidRPr="00143CEC" w:rsidRDefault="00743A0B" w:rsidP="00743A0B">
            <w:pPr>
              <w:ind w:left="-120"/>
              <w:jc w:val="left"/>
              <w:rPr>
                <w:rFonts w:cs="Times New Roman"/>
                <w:sz w:val="18"/>
                <w:szCs w:val="18"/>
              </w:rPr>
            </w:pPr>
            <w:r w:rsidRPr="00143CEC">
              <w:rPr>
                <w:rFonts w:cs="Times New Roman"/>
                <w:sz w:val="18"/>
                <w:szCs w:val="18"/>
              </w:rPr>
              <w:t>*Publicación revisada por pares.</w:t>
            </w:r>
          </w:p>
          <w:p w:rsidR="00743A0B" w:rsidRPr="00143CEC" w:rsidRDefault="00743A0B" w:rsidP="00743A0B">
            <w:pPr>
              <w:ind w:left="-120"/>
              <w:jc w:val="left"/>
              <w:rPr>
                <w:rFonts w:cs="Times New Roman"/>
                <w:sz w:val="18"/>
                <w:szCs w:val="18"/>
              </w:rPr>
            </w:pPr>
            <w:r w:rsidRPr="00143CEC">
              <w:rPr>
                <w:rFonts w:cs="Times New Roman"/>
                <w:sz w:val="18"/>
                <w:szCs w:val="18"/>
              </w:rPr>
              <w:t>*Materiales de comunicación.</w:t>
            </w:r>
          </w:p>
        </w:tc>
        <w:tc>
          <w:tcPr>
            <w:tcW w:w="1995" w:type="dxa"/>
            <w:shd w:val="clear" w:color="auto" w:fill="auto"/>
            <w:vAlign w:val="center"/>
          </w:tcPr>
          <w:p w:rsidR="00743A0B" w:rsidRPr="00143CEC" w:rsidRDefault="00743A0B" w:rsidP="00743A0B">
            <w:pPr>
              <w:jc w:val="left"/>
              <w:rPr>
                <w:rFonts w:cs="Times New Roman"/>
                <w:sz w:val="18"/>
                <w:szCs w:val="18"/>
              </w:rPr>
            </w:pPr>
            <w:r w:rsidRPr="00143CEC">
              <w:rPr>
                <w:rFonts w:cs="Times New Roman"/>
                <w:sz w:val="18"/>
                <w:szCs w:val="18"/>
              </w:rPr>
              <w:t>- Al primer año del proyecto: Establecimiento y monitoreo de 4 ensayos de validación biofísica en los 3 países (2 en Colombia).</w:t>
            </w:r>
          </w:p>
          <w:p w:rsidR="00743A0B" w:rsidRPr="00143CEC" w:rsidRDefault="00743A0B" w:rsidP="00743A0B">
            <w:pPr>
              <w:jc w:val="left"/>
              <w:rPr>
                <w:rFonts w:cs="Times New Roman"/>
                <w:sz w:val="18"/>
                <w:szCs w:val="18"/>
              </w:rPr>
            </w:pPr>
            <w:r w:rsidRPr="00143CEC">
              <w:rPr>
                <w:rFonts w:cs="Times New Roman"/>
                <w:sz w:val="18"/>
                <w:szCs w:val="18"/>
              </w:rPr>
              <w:t>-Al segundo año del proyecto: monitoreo de los 4 ensayos de validación biofísica en los 3 países (2 ensayos en Colombia).</w:t>
            </w:r>
          </w:p>
          <w:p w:rsidR="00743A0B" w:rsidRPr="00143CEC" w:rsidRDefault="00743A0B" w:rsidP="00743A0B">
            <w:pPr>
              <w:jc w:val="left"/>
              <w:rPr>
                <w:rFonts w:cs="Times New Roman"/>
                <w:sz w:val="18"/>
                <w:szCs w:val="18"/>
              </w:rPr>
            </w:pPr>
            <w:r w:rsidRPr="00143CEC">
              <w:rPr>
                <w:rFonts w:cs="Times New Roman"/>
                <w:sz w:val="18"/>
                <w:szCs w:val="18"/>
              </w:rPr>
              <w:t>-Al último año del proyecto: Validación en 6 fincas a escala comercial en los 3 países</w:t>
            </w:r>
          </w:p>
        </w:tc>
        <w:tc>
          <w:tcPr>
            <w:tcW w:w="1635" w:type="dxa"/>
            <w:shd w:val="clear" w:color="auto" w:fill="auto"/>
            <w:vAlign w:val="center"/>
          </w:tcPr>
          <w:p w:rsidR="00743A0B" w:rsidRPr="00143CEC" w:rsidRDefault="00743A0B" w:rsidP="00743A0B">
            <w:pPr>
              <w:jc w:val="left"/>
              <w:rPr>
                <w:rFonts w:cs="Times New Roman"/>
                <w:sz w:val="18"/>
                <w:szCs w:val="18"/>
              </w:rPr>
            </w:pPr>
            <w:r w:rsidRPr="00143CEC">
              <w:rPr>
                <w:rFonts w:cs="Times New Roman"/>
                <w:sz w:val="18"/>
                <w:szCs w:val="18"/>
              </w:rPr>
              <w:t>-Mapas de ubicación y registro de datos.</w:t>
            </w:r>
          </w:p>
          <w:p w:rsidR="00743A0B" w:rsidRPr="00143CEC" w:rsidRDefault="00743A0B" w:rsidP="00743A0B">
            <w:pPr>
              <w:jc w:val="left"/>
              <w:rPr>
                <w:rFonts w:cs="Times New Roman"/>
                <w:sz w:val="18"/>
                <w:szCs w:val="18"/>
              </w:rPr>
            </w:pPr>
            <w:r w:rsidRPr="00143CEC">
              <w:rPr>
                <w:rFonts w:cs="Times New Roman"/>
                <w:sz w:val="18"/>
                <w:szCs w:val="18"/>
              </w:rPr>
              <w:t>-Reporte de resultados</w:t>
            </w: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tc>
        <w:tc>
          <w:tcPr>
            <w:tcW w:w="1815" w:type="dxa"/>
            <w:shd w:val="clear" w:color="auto" w:fill="auto"/>
            <w:vAlign w:val="center"/>
          </w:tcPr>
          <w:p w:rsidR="00743A0B" w:rsidRPr="00143CEC" w:rsidRDefault="00743A0B" w:rsidP="00743A0B">
            <w:pPr>
              <w:jc w:val="left"/>
              <w:rPr>
                <w:rFonts w:cs="Times New Roman"/>
                <w:sz w:val="18"/>
                <w:szCs w:val="18"/>
              </w:rPr>
            </w:pPr>
            <w:r w:rsidRPr="00143CEC">
              <w:rPr>
                <w:rFonts w:cs="Times New Roman"/>
                <w:sz w:val="18"/>
                <w:szCs w:val="18"/>
              </w:rPr>
              <w:t>Continuidad durante el desarrollo del proyecto de los productores involucrados</w:t>
            </w: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p w:rsidR="00743A0B" w:rsidRPr="00143CEC" w:rsidRDefault="00743A0B" w:rsidP="00743A0B">
            <w:pPr>
              <w:jc w:val="left"/>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1.1. Establecimiento de los ensayos  - 2500m2</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Conocimiento en el establecimiento de parcelas experimentales de arroz para el sistema AWD</w:t>
            </w:r>
          </w:p>
        </w:tc>
        <w:tc>
          <w:tcPr>
            <w:tcW w:w="2070" w:type="dxa"/>
            <w:vAlign w:val="center"/>
          </w:tcPr>
          <w:p w:rsidR="00743A0B" w:rsidRPr="00143CEC" w:rsidRDefault="00743A0B" w:rsidP="00743A0B">
            <w:pPr>
              <w:ind w:left="-120"/>
              <w:rPr>
                <w:rFonts w:cs="Times New Roman"/>
                <w:sz w:val="18"/>
                <w:szCs w:val="18"/>
              </w:rPr>
            </w:pPr>
            <w:r w:rsidRPr="00143CEC">
              <w:rPr>
                <w:rFonts w:cs="Times New Roman"/>
                <w:sz w:val="18"/>
                <w:szCs w:val="18"/>
              </w:rPr>
              <w:t xml:space="preserve">*Ensayos establecidos de acuerdo a los requerimientos de las evaluaciones. </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Inversión del ensayo: U$138.385, Insumos, alquiler y adecuaciones en la zona de estudio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Documentos oficiales del diseño de muestreo </w:t>
            </w:r>
          </w:p>
          <w:p w:rsidR="00743A0B" w:rsidRPr="00143CEC" w:rsidRDefault="00743A0B" w:rsidP="00743A0B">
            <w:pPr>
              <w:rPr>
                <w:rFonts w:cs="Times New Roman"/>
                <w:sz w:val="18"/>
                <w:szCs w:val="18"/>
              </w:rPr>
            </w:pPr>
          </w:p>
        </w:tc>
        <w:tc>
          <w:tcPr>
            <w:tcW w:w="181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Se cuentan con los recursos económicos a tiempo</w:t>
            </w: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1.2: Monitoreo de agua</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 xml:space="preserve">Base de datos sobre dinámica del uso del agua </w:t>
            </w:r>
          </w:p>
        </w:tc>
        <w:tc>
          <w:tcPr>
            <w:tcW w:w="2070" w:type="dxa"/>
            <w:vAlign w:val="center"/>
          </w:tcPr>
          <w:p w:rsidR="00743A0B" w:rsidRPr="00143CEC" w:rsidRDefault="00743A0B" w:rsidP="00743A0B">
            <w:pPr>
              <w:ind w:left="-120"/>
              <w:rPr>
                <w:rFonts w:cs="Times New Roman"/>
                <w:sz w:val="18"/>
                <w:szCs w:val="18"/>
              </w:rPr>
            </w:pPr>
            <w:r w:rsidRPr="00143CEC">
              <w:rPr>
                <w:rFonts w:cs="Times New Roman"/>
                <w:sz w:val="18"/>
                <w:szCs w:val="18"/>
              </w:rPr>
              <w:t>*Documentación sobre el consumo de agua en cada uno de los tratamientos.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Inversión en análisis:</w:t>
            </w:r>
          </w:p>
          <w:p w:rsidR="00743A0B" w:rsidRPr="00143CEC" w:rsidRDefault="00743A0B" w:rsidP="00743A0B">
            <w:pPr>
              <w:rPr>
                <w:rFonts w:cs="Times New Roman"/>
                <w:sz w:val="18"/>
                <w:szCs w:val="18"/>
              </w:rPr>
            </w:pPr>
            <w:r w:rsidRPr="00143CEC">
              <w:rPr>
                <w:rFonts w:cs="Times New Roman"/>
                <w:sz w:val="18"/>
                <w:szCs w:val="18"/>
              </w:rPr>
              <w:t>$ 151.998 entre mano de obra e insumos.</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Resultados sobre el consumo de agua </w:t>
            </w:r>
            <w:r w:rsidRPr="00143CEC">
              <w:rPr>
                <w:rFonts w:cs="Times New Roman"/>
                <w:sz w:val="18"/>
                <w:szCs w:val="18"/>
              </w:rPr>
              <w:lastRenderedPageBreak/>
              <w:t>en cada uno de los tratamientos</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98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1.3: Monitoreo de GEI</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Habilidades en el monitoreo de emisiones de GEI en los tres países bajo los manejos de AWD</w:t>
            </w:r>
          </w:p>
        </w:tc>
        <w:tc>
          <w:tcPr>
            <w:tcW w:w="2070" w:type="dxa"/>
            <w:vAlign w:val="center"/>
          </w:tcPr>
          <w:p w:rsidR="00743A0B" w:rsidRPr="00143CEC" w:rsidRDefault="00743A0B" w:rsidP="00743A0B">
            <w:pPr>
              <w:ind w:left="-120"/>
              <w:rPr>
                <w:rFonts w:cs="Times New Roman"/>
                <w:sz w:val="18"/>
                <w:szCs w:val="18"/>
              </w:rPr>
            </w:pPr>
            <w:r w:rsidRPr="00143CEC">
              <w:rPr>
                <w:rFonts w:cs="Times New Roman"/>
                <w:sz w:val="18"/>
                <w:szCs w:val="18"/>
              </w:rPr>
              <w:t xml:space="preserve">*Temples para el cálculo de flujos por unidad de área y tiempo </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Inversión para el monitoreo: $157.656 diseño, jornales, insumos, equipos (cámaras), hospedajes, perdiem </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Resultados sobre las concentraciones de GEI y emisiones </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1.4: Monitoreo de las variables agronómicas</w:t>
            </w:r>
          </w:p>
        </w:tc>
        <w:tc>
          <w:tcPr>
            <w:tcW w:w="1965" w:type="dxa"/>
            <w:vAlign w:val="center"/>
          </w:tcPr>
          <w:p w:rsidR="00743A0B" w:rsidRPr="00143CEC" w:rsidRDefault="00743A0B" w:rsidP="00743A0B">
            <w:pPr>
              <w:ind w:left="-120"/>
              <w:rPr>
                <w:rFonts w:cs="Times New Roman"/>
                <w:sz w:val="18"/>
                <w:szCs w:val="18"/>
              </w:rPr>
            </w:pPr>
            <w:r w:rsidRPr="00143CEC">
              <w:rPr>
                <w:rFonts w:cs="Times New Roman"/>
                <w:sz w:val="18"/>
                <w:szCs w:val="18"/>
              </w:rPr>
              <w:t>Bases de datos de rendimiento de cultivo</w:t>
            </w:r>
          </w:p>
        </w:tc>
        <w:tc>
          <w:tcPr>
            <w:tcW w:w="2070" w:type="dxa"/>
            <w:vAlign w:val="center"/>
          </w:tcPr>
          <w:p w:rsidR="00743A0B" w:rsidRPr="00143CEC" w:rsidRDefault="00743A0B" w:rsidP="00743A0B">
            <w:pPr>
              <w:ind w:left="-120"/>
              <w:rPr>
                <w:rFonts w:cs="Times New Roman"/>
                <w:sz w:val="18"/>
                <w:szCs w:val="18"/>
              </w:rPr>
            </w:pPr>
            <w:r w:rsidRPr="00143CEC">
              <w:rPr>
                <w:rFonts w:cs="Times New Roman"/>
                <w:sz w:val="18"/>
                <w:szCs w:val="18"/>
              </w:rPr>
              <w:t>* Documentación sobre el rendimiento de cultivo por tratamiento y país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$80.260 pago jornales, insumos de muestreo, análisis de suelo, transporte</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Registros y bases de datos </w:t>
            </w:r>
          </w:p>
          <w:p w:rsidR="00743A0B" w:rsidRPr="00143CEC" w:rsidRDefault="00743A0B" w:rsidP="00743A0B">
            <w:pPr>
              <w:rPr>
                <w:rFonts w:cs="Times New Roman"/>
                <w:sz w:val="18"/>
                <w:szCs w:val="18"/>
              </w:rPr>
            </w:pP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1.5: Análisis de las variables monitoreadas</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 xml:space="preserve">Bases de datos y correlaciones de las variables en términos de tratamientos </w:t>
            </w:r>
          </w:p>
        </w:tc>
        <w:tc>
          <w:tcPr>
            <w:tcW w:w="2070" w:type="dxa"/>
            <w:vAlign w:val="center"/>
          </w:tcPr>
          <w:p w:rsidR="00743A0B" w:rsidRPr="00143CEC" w:rsidRDefault="00743A0B" w:rsidP="00743A0B">
            <w:pPr>
              <w:ind w:left="-120"/>
              <w:rPr>
                <w:rFonts w:cs="Times New Roman"/>
                <w:sz w:val="18"/>
                <w:szCs w:val="18"/>
              </w:rPr>
            </w:pPr>
            <w:r w:rsidRPr="00143CEC">
              <w:rPr>
                <w:rFonts w:cs="Times New Roman"/>
                <w:sz w:val="18"/>
                <w:szCs w:val="18"/>
              </w:rPr>
              <w:t>*Reporte sobre el análisis de las diferentes variables evaluadas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$25.877 para análisis entre Perú y Chile</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Reportes de laboratorio</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CP2: Evaluaciones socioeconómicas de sitios monitoreados</w:t>
            </w:r>
          </w:p>
        </w:tc>
        <w:tc>
          <w:tcPr>
            <w:tcW w:w="1965" w:type="dxa"/>
          </w:tcPr>
          <w:p w:rsidR="00743A0B" w:rsidRPr="00143CEC" w:rsidRDefault="00743A0B" w:rsidP="00743A0B">
            <w:pPr>
              <w:rPr>
                <w:rFonts w:cs="Times New Roman"/>
                <w:sz w:val="18"/>
                <w:szCs w:val="18"/>
              </w:rPr>
            </w:pPr>
            <w:r w:rsidRPr="00143CEC">
              <w:rPr>
                <w:rFonts w:cs="Times New Roman"/>
                <w:color w:val="000000"/>
                <w:sz w:val="18"/>
                <w:szCs w:val="18"/>
              </w:rPr>
              <w:t>Evaluación de la implicaciones económicas en términos del sistema productivo</w:t>
            </w:r>
          </w:p>
        </w:tc>
        <w:tc>
          <w:tcPr>
            <w:tcW w:w="2070" w:type="dxa"/>
          </w:tcPr>
          <w:p w:rsidR="00743A0B" w:rsidRPr="00143CEC" w:rsidRDefault="00743A0B" w:rsidP="00743A0B">
            <w:pPr>
              <w:rPr>
                <w:rFonts w:cs="Times New Roman"/>
                <w:sz w:val="18"/>
                <w:szCs w:val="18"/>
              </w:rPr>
            </w:pPr>
            <w:r w:rsidRPr="00143CEC">
              <w:rPr>
                <w:rFonts w:cs="Times New Roman"/>
                <w:color w:val="000000"/>
                <w:sz w:val="18"/>
                <w:szCs w:val="18"/>
              </w:rPr>
              <w:t>Costos asociados a cada sistema de riego evaluado</w:t>
            </w:r>
          </w:p>
        </w:tc>
        <w:tc>
          <w:tcPr>
            <w:tcW w:w="1995" w:type="dxa"/>
            <w:shd w:val="clear" w:color="auto" w:fill="auto"/>
          </w:tcPr>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Al primer año: Información de las fincas seleccionadas y el área de influencia que esté disponible.</w:t>
            </w:r>
          </w:p>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-Al segundo año del proyecto: Documentación de las principales políticas locales  existentes que</w:t>
            </w:r>
          </w:p>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impacten en la producción de arroz familiar.</w:t>
            </w:r>
          </w:p>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Al último año: Perfil socio-económico disponible de los productores de la zona de estudio.</w:t>
            </w:r>
          </w:p>
          <w:p w:rsidR="00743A0B" w:rsidRPr="00143CEC" w:rsidRDefault="00743A0B" w:rsidP="00743A0B">
            <w:pPr>
              <w:rPr>
                <w:rFonts w:cs="Times New Roman"/>
                <w:sz w:val="18"/>
                <w:szCs w:val="18"/>
              </w:rPr>
            </w:pPr>
          </w:p>
        </w:tc>
        <w:tc>
          <w:tcPr>
            <w:tcW w:w="1635" w:type="dxa"/>
            <w:shd w:val="clear" w:color="auto" w:fill="auto"/>
          </w:tcPr>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Informes disponibles</w:t>
            </w:r>
          </w:p>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-Documentos de las políticas</w:t>
            </w:r>
          </w:p>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-Reportes socioeconómicos.</w:t>
            </w:r>
          </w:p>
        </w:tc>
        <w:tc>
          <w:tcPr>
            <w:tcW w:w="1815" w:type="dxa"/>
            <w:shd w:val="clear" w:color="auto" w:fill="auto"/>
          </w:tcPr>
          <w:p w:rsidR="00743A0B" w:rsidRPr="00143CEC" w:rsidRDefault="00743A0B" w:rsidP="00743A0B">
            <w:pPr>
              <w:pStyle w:val="NormalWeb"/>
              <w:spacing w:before="0" w:beforeAutospacing="0" w:after="0" w:afterAutospacing="0"/>
              <w:jc w:val="both"/>
              <w:rPr>
                <w:color w:val="000000"/>
                <w:sz w:val="18"/>
                <w:szCs w:val="18"/>
              </w:rPr>
            </w:pPr>
            <w:r w:rsidRPr="00143CEC">
              <w:rPr>
                <w:color w:val="000000"/>
                <w:sz w:val="18"/>
                <w:szCs w:val="18"/>
              </w:rPr>
              <w:t>Se disponga de información.</w:t>
            </w:r>
          </w:p>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Actividad 2.1: Elaboración y desarrollo de encuestas simples a personas claves </w:t>
            </w:r>
            <w:r w:rsidRPr="00143CEC">
              <w:rPr>
                <w:rFonts w:cs="Times New Roman"/>
                <w:sz w:val="18"/>
                <w:szCs w:val="18"/>
              </w:rPr>
              <w:lastRenderedPageBreak/>
              <w:t>en la cadena de arroz, recopilación y análisis de la información</w:t>
            </w:r>
          </w:p>
        </w:tc>
        <w:tc>
          <w:tcPr>
            <w:tcW w:w="1965" w:type="dxa"/>
            <w:vAlign w:val="center"/>
          </w:tcPr>
          <w:p w:rsidR="00743A0B" w:rsidRPr="00143CEC" w:rsidRDefault="00743A0B" w:rsidP="00743A0B">
            <w:pPr>
              <w:jc w:val="left"/>
              <w:rPr>
                <w:rFonts w:cs="Times New Roman"/>
                <w:sz w:val="18"/>
                <w:szCs w:val="18"/>
              </w:rPr>
            </w:pPr>
            <w:r w:rsidRPr="00143CEC">
              <w:rPr>
                <w:rFonts w:cs="Times New Roman"/>
                <w:sz w:val="18"/>
                <w:szCs w:val="18"/>
              </w:rPr>
              <w:lastRenderedPageBreak/>
              <w:t xml:space="preserve">Registros de encuestas y recopilación de </w:t>
            </w:r>
            <w:r w:rsidRPr="00143CEC">
              <w:rPr>
                <w:rFonts w:cs="Times New Roman"/>
                <w:sz w:val="18"/>
                <w:szCs w:val="18"/>
              </w:rPr>
              <w:lastRenderedPageBreak/>
              <w:t>información a nivel local</w:t>
            </w:r>
          </w:p>
          <w:p w:rsidR="00743A0B" w:rsidRPr="00143CEC" w:rsidRDefault="00743A0B" w:rsidP="00743A0B">
            <w:pPr>
              <w:ind w:left="-75" w:right="-59"/>
              <w:jc w:val="left"/>
              <w:rPr>
                <w:rFonts w:cs="Times New Roman"/>
                <w:sz w:val="18"/>
                <w:szCs w:val="18"/>
              </w:rPr>
            </w:pPr>
            <w:r w:rsidRPr="00143CEC">
              <w:rPr>
                <w:rFonts w:cs="Times New Roman"/>
                <w:sz w:val="18"/>
                <w:szCs w:val="18"/>
              </w:rPr>
              <w:t xml:space="preserve">*Indicadores socioeconómicos asociados a los condiciones locales  </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lastRenderedPageBreak/>
              <w:t xml:space="preserve">Documentación sobre los costos específicos y análisis socioeconómicos </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$20.794 persona mes (nivel técnico socioeconómico)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Planillas de registro, encuestas, </w:t>
            </w:r>
            <w:r w:rsidRPr="00143CEC">
              <w:rPr>
                <w:rFonts w:cs="Times New Roman"/>
                <w:sz w:val="18"/>
                <w:szCs w:val="18"/>
              </w:rPr>
              <w:lastRenderedPageBreak/>
              <w:t xml:space="preserve">documentación y reporte </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CP3: Análisis y síntesis de escenarios</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Evaluaciones biofísicas para validación del modelo DNDC</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Reporte sobre la rentabilidad del sistema bajo diferentes condiciones de suelo y clima.</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-Al final del primer año: 9 simulaciones de emisiones de GEI.</w:t>
            </w:r>
          </w:p>
          <w:p w:rsidR="00743A0B" w:rsidRPr="00143CEC" w:rsidRDefault="00743A0B" w:rsidP="00743A0B">
            <w:pPr>
              <w:rPr>
                <w:rFonts w:eastAsia="Arial" w:cs="Times New Roman"/>
                <w:sz w:val="18"/>
                <w:szCs w:val="18"/>
                <w:highlight w:val="white"/>
              </w:rPr>
            </w:pPr>
            <w:r w:rsidRPr="00143CEC">
              <w:rPr>
                <w:rFonts w:cs="Times New Roman"/>
                <w:sz w:val="18"/>
                <w:szCs w:val="18"/>
              </w:rPr>
              <w:t>-Al final del segundo año: 9 simulaciones de emisiones de GEI.</w:t>
            </w:r>
            <w:r w:rsidRPr="00143CEC">
              <w:rPr>
                <w:rFonts w:eastAsia="Arial" w:cs="Times New Roman"/>
                <w:sz w:val="18"/>
                <w:szCs w:val="18"/>
                <w:highlight w:val="white"/>
              </w:rPr>
              <w:t xml:space="preserve"> </w:t>
            </w:r>
          </w:p>
          <w:p w:rsidR="00743A0B" w:rsidRPr="00143CEC" w:rsidRDefault="00743A0B" w:rsidP="00743A0B">
            <w:pPr>
              <w:rPr>
                <w:rFonts w:eastAsia="Arial" w:cs="Times New Roman"/>
                <w:sz w:val="18"/>
                <w:szCs w:val="18"/>
                <w:highlight w:val="white"/>
              </w:rPr>
            </w:pPr>
            <w:r w:rsidRPr="00143CEC">
              <w:rPr>
                <w:rFonts w:cs="Times New Roman"/>
                <w:sz w:val="18"/>
                <w:szCs w:val="18"/>
              </w:rPr>
              <w:t xml:space="preserve">-Al final del proyecto: Modelación de 3 escenarios (cultivo, suelo y clima) en la zona de estudio </w:t>
            </w:r>
          </w:p>
          <w:p w:rsidR="00743A0B" w:rsidRPr="00143CEC" w:rsidRDefault="00743A0B" w:rsidP="00743A0B">
            <w:pPr>
              <w:rPr>
                <w:rFonts w:cs="Times New Roman"/>
                <w:sz w:val="18"/>
                <w:szCs w:val="18"/>
              </w:rPr>
            </w:pPr>
            <w:r w:rsidRPr="00143CEC">
              <w:rPr>
                <w:rFonts w:cs="Times New Roman"/>
                <w:sz w:val="18"/>
                <w:szCs w:val="18"/>
              </w:rPr>
              <w:t xml:space="preserve"> </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Reporte de las simulaciones de emisiones de GEI bajo el modelo DNDC</w:t>
            </w: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tc>
        <w:tc>
          <w:tcPr>
            <w:tcW w:w="181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Información climática incompleta.</w:t>
            </w: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3.1: Proceso de modelación y análisis</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Flujos en unidad de tiempo y área bajo las diferentes condiciones de suelo y clima</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Bases de datos de emisiones de GEI en función de la condiciones biofísicas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$27.612, estudiante de maestría /1año y medio.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Base de datos de los modelos, reporte de análisis </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4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CP4: Estrategias de comunicación y extensión</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 xml:space="preserve">Estrategias de comunicación y extensión específicas a las condiciones locales </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Documentación de los resultados de los procesos de extensión.</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-Al inicio del proyecto: 1 taller internacional para la planificación de las actividades entre socios</w:t>
            </w:r>
          </w:p>
          <w:p w:rsidR="00743A0B" w:rsidRPr="00143CEC" w:rsidRDefault="00743A0B" w:rsidP="00743A0B">
            <w:pPr>
              <w:rPr>
                <w:rFonts w:cs="Times New Roman"/>
                <w:sz w:val="18"/>
                <w:szCs w:val="18"/>
              </w:rPr>
            </w:pPr>
            <w:r w:rsidRPr="00143CEC">
              <w:rPr>
                <w:rFonts w:cs="Times New Roman"/>
                <w:sz w:val="18"/>
                <w:szCs w:val="18"/>
              </w:rPr>
              <w:t>--3 actividades de socialización del proyecto enfocado a productores.</w:t>
            </w:r>
          </w:p>
          <w:p w:rsidR="00743A0B" w:rsidRPr="00143CEC" w:rsidRDefault="00743A0B" w:rsidP="00743A0B">
            <w:pPr>
              <w:rPr>
                <w:rFonts w:cs="Times New Roman"/>
                <w:sz w:val="18"/>
                <w:szCs w:val="18"/>
              </w:rPr>
            </w:pPr>
            <w:r w:rsidRPr="00143CEC">
              <w:rPr>
                <w:rFonts w:cs="Times New Roman"/>
                <w:sz w:val="18"/>
                <w:szCs w:val="18"/>
              </w:rPr>
              <w:t>-Al segundo año: 3 actividades de transferencia de tecnología.</w:t>
            </w:r>
          </w:p>
          <w:p w:rsidR="00743A0B" w:rsidRPr="00143CEC" w:rsidRDefault="00743A0B" w:rsidP="00743A0B">
            <w:pPr>
              <w:rPr>
                <w:rFonts w:cs="Times New Roman"/>
                <w:sz w:val="18"/>
                <w:szCs w:val="18"/>
              </w:rPr>
            </w:pPr>
            <w:r w:rsidRPr="00143CEC">
              <w:rPr>
                <w:rFonts w:cs="Times New Roman"/>
                <w:sz w:val="18"/>
                <w:szCs w:val="18"/>
              </w:rPr>
              <w:t xml:space="preserve">-Al final del proyecto: 3 actividades de socialización de resultados </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*Lista de asistencia a los eventos de transferencia.</w:t>
            </w:r>
          </w:p>
          <w:p w:rsidR="00743A0B" w:rsidRPr="00143CEC" w:rsidRDefault="00743A0B" w:rsidP="00743A0B">
            <w:pPr>
              <w:rPr>
                <w:rFonts w:cs="Times New Roman"/>
                <w:sz w:val="18"/>
                <w:szCs w:val="18"/>
              </w:rPr>
            </w:pPr>
            <w:r w:rsidRPr="00143CEC">
              <w:rPr>
                <w:rFonts w:cs="Times New Roman"/>
                <w:sz w:val="18"/>
                <w:szCs w:val="18"/>
              </w:rPr>
              <w:t>*Reportes de los eventos de socialización</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lastRenderedPageBreak/>
              <w:t>Actividad 4.1: Taller internacional de planificación inicio del proyecto</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Compromisos sobre el desarrollo de las actividades por país</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 xml:space="preserve">Actas sobre los compromisos del proyecto por país </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$25.591/20 personas reunión en Bogotá.</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Registro de participantes, blog sobre iniciativa del proyecto</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56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4.2: 3 actividades de socialización a productores primer año</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Apropiación del proyecto por parte de los productores</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Memorias sobre las opiniones de los productores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$23.443 promedio por evento. (participación estimada de 30 agricultores por evento)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Registro de participantes y avances del proyecto  </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4.3: 3 actividades de socialización a productores segundo año</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Técnicas para establecer las estrategias de extensión a nivel local</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Memorias sobre las opiniones de los productores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$26.755 promedio por evento. (participación estimada de 30 agricultores por evento)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Registro de participantes y avances del proyecto</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4.4: 3 actividades de socialización a productores tercer año</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 xml:space="preserve">Consolidado de las habilidades y experiencias adquiridas durante el proceso </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Memorias sobre las opiniones de los productores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$25.164 promedio por evento. (participación estimada de 30 agricultores por evento)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Registro de participantes y avances del proyecto</w:t>
            </w:r>
          </w:p>
        </w:tc>
        <w:tc>
          <w:tcPr>
            <w:tcW w:w="1815" w:type="dxa"/>
            <w:shd w:val="clear" w:color="auto" w:fill="auto"/>
            <w:vAlign w:val="center"/>
          </w:tcPr>
          <w:p w:rsidR="00743A0B" w:rsidRPr="00143CEC" w:rsidRDefault="00743A0B" w:rsidP="00743A0B">
            <w:pPr>
              <w:rPr>
                <w:rFonts w:cs="Times New Roman"/>
                <w:sz w:val="18"/>
                <w:szCs w:val="18"/>
              </w:rPr>
            </w:pP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Actividad 4.5: Consolidación de la información </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 xml:space="preserve">Compromisos para la consolidación de los datos de los tres países </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Plataforma de datos ACCESS</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$40.139 por evento.  (participación estimada de 30 agricultores por evento)</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Registro de participantes e informe de final de resultados</w:t>
            </w:r>
          </w:p>
        </w:tc>
        <w:tc>
          <w:tcPr>
            <w:tcW w:w="181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Se mantiene el compromiso de los agricultores </w:t>
            </w:r>
          </w:p>
        </w:tc>
      </w:tr>
      <w:tr w:rsidR="00743A0B" w:rsidRPr="00143CEC" w:rsidTr="00743A0B">
        <w:trPr>
          <w:trHeight w:val="240"/>
        </w:trPr>
        <w:tc>
          <w:tcPr>
            <w:tcW w:w="306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Actividad 4.6: Publicación de los resultados</w:t>
            </w:r>
          </w:p>
        </w:tc>
        <w:tc>
          <w:tcPr>
            <w:tcW w:w="1965" w:type="dxa"/>
            <w:vAlign w:val="center"/>
          </w:tcPr>
          <w:p w:rsidR="00743A0B" w:rsidRPr="00143CEC" w:rsidRDefault="00743A0B" w:rsidP="00743A0B">
            <w:pPr>
              <w:rPr>
                <w:rFonts w:cs="Times New Roman"/>
                <w:sz w:val="18"/>
                <w:szCs w:val="18"/>
              </w:rPr>
            </w:pPr>
            <w:r w:rsidRPr="00143CEC">
              <w:rPr>
                <w:rFonts w:cs="Times New Roman"/>
                <w:sz w:val="18"/>
                <w:szCs w:val="18"/>
              </w:rPr>
              <w:t>Bases de datos consolidadas  de todo el proyecto</w:t>
            </w:r>
          </w:p>
        </w:tc>
        <w:tc>
          <w:tcPr>
            <w:tcW w:w="2070" w:type="dxa"/>
            <w:vAlign w:val="center"/>
          </w:tcPr>
          <w:p w:rsidR="00743A0B" w:rsidRPr="00143CEC" w:rsidRDefault="00743A0B" w:rsidP="00743A0B">
            <w:pPr>
              <w:rPr>
                <w:rFonts w:cs="Times New Roman"/>
                <w:sz w:val="18"/>
                <w:szCs w:val="18"/>
              </w:rPr>
            </w:pPr>
            <w:r w:rsidRPr="00143CEC">
              <w:rPr>
                <w:rFonts w:cs="Times New Roman"/>
                <w:sz w:val="18"/>
                <w:szCs w:val="18"/>
              </w:rPr>
              <w:t>Publicación y documentación sobre el análisis de la información</w:t>
            </w:r>
          </w:p>
        </w:tc>
        <w:tc>
          <w:tcPr>
            <w:tcW w:w="199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Edición y publicación  </w:t>
            </w:r>
          </w:p>
        </w:tc>
        <w:tc>
          <w:tcPr>
            <w:tcW w:w="1635" w:type="dxa"/>
            <w:shd w:val="clear" w:color="auto" w:fill="auto"/>
            <w:vAlign w:val="center"/>
          </w:tcPr>
          <w:p w:rsidR="00743A0B" w:rsidRPr="00143CEC" w:rsidRDefault="00743A0B" w:rsidP="00743A0B">
            <w:pPr>
              <w:rPr>
                <w:rFonts w:cs="Times New Roman"/>
                <w:sz w:val="18"/>
                <w:szCs w:val="18"/>
              </w:rPr>
            </w:pPr>
            <w:r w:rsidRPr="00143CEC">
              <w:rPr>
                <w:rFonts w:cs="Times New Roman"/>
                <w:sz w:val="18"/>
                <w:szCs w:val="18"/>
              </w:rPr>
              <w:t xml:space="preserve">Reporte, documentos y borrador de artículo </w:t>
            </w:r>
          </w:p>
        </w:tc>
        <w:tc>
          <w:tcPr>
            <w:tcW w:w="1815" w:type="dxa"/>
            <w:shd w:val="clear" w:color="auto" w:fill="auto"/>
            <w:vAlign w:val="center"/>
          </w:tcPr>
          <w:p w:rsidR="00743A0B" w:rsidRPr="00143CEC" w:rsidRDefault="00743A0B" w:rsidP="00743A0B">
            <w:pPr>
              <w:rPr>
                <w:rFonts w:cs="Times New Roman"/>
                <w:sz w:val="18"/>
                <w:szCs w:val="18"/>
              </w:rPr>
            </w:pPr>
          </w:p>
        </w:tc>
      </w:tr>
    </w:tbl>
    <w:p w:rsidR="00C02FE9" w:rsidRPr="000B7E0D" w:rsidRDefault="00C02FE9">
      <w:pPr>
        <w:spacing w:after="200" w:line="276" w:lineRule="auto"/>
        <w:jc w:val="left"/>
        <w:rPr>
          <w:rFonts w:cs="Times New Roman"/>
        </w:rPr>
      </w:pPr>
      <w:r w:rsidRPr="000B7E0D">
        <w:rPr>
          <w:rFonts w:cs="Times New Roman"/>
        </w:rPr>
        <w:br w:type="page"/>
      </w:r>
    </w:p>
    <w:p w:rsidR="00C02FE9" w:rsidRPr="00797372" w:rsidRDefault="00DC4049" w:rsidP="00405213">
      <w:pPr>
        <w:pStyle w:val="ListParagraph"/>
        <w:numPr>
          <w:ilvl w:val="1"/>
          <w:numId w:val="13"/>
        </w:numPr>
        <w:rPr>
          <w:rFonts w:cs="Times New Roman"/>
          <w:sz w:val="22"/>
        </w:rPr>
      </w:pPr>
      <w:r w:rsidRPr="00797372">
        <w:rPr>
          <w:rFonts w:cs="Times New Roman"/>
          <w:sz w:val="22"/>
        </w:rPr>
        <w:lastRenderedPageBreak/>
        <w:t xml:space="preserve">Anexo III. </w:t>
      </w:r>
      <w:r w:rsidR="00C02FE9" w:rsidRPr="00797372">
        <w:rPr>
          <w:rFonts w:cs="Times New Roman"/>
          <w:sz w:val="22"/>
        </w:rPr>
        <w:t xml:space="preserve">Matriz de Resultados Indicativa </w:t>
      </w:r>
    </w:p>
    <w:p w:rsidR="00C02FE9" w:rsidRPr="000B7E0D" w:rsidRDefault="00C02FE9" w:rsidP="00C02FE9"/>
    <w:tbl>
      <w:tblPr>
        <w:tblW w:w="0" w:type="dxa"/>
        <w:tblCellMar>
          <w:left w:w="0" w:type="dxa"/>
          <w:right w:w="0" w:type="dxa"/>
        </w:tblCellMar>
        <w:tblLook w:val="04A0" w:firstRow="1" w:lastRow="0" w:firstColumn="1" w:lastColumn="0" w:noHBand="0" w:noVBand="1"/>
      </w:tblPr>
      <w:tblGrid>
        <w:gridCol w:w="2308"/>
        <w:gridCol w:w="862"/>
        <w:gridCol w:w="595"/>
        <w:gridCol w:w="1201"/>
        <w:gridCol w:w="1648"/>
        <w:gridCol w:w="413"/>
        <w:gridCol w:w="413"/>
        <w:gridCol w:w="1569"/>
        <w:gridCol w:w="1704"/>
        <w:gridCol w:w="2231"/>
      </w:tblGrid>
      <w:tr w:rsidR="00365474" w:rsidRPr="00365474" w:rsidTr="00365474">
        <w:trPr>
          <w:trHeight w:val="25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left"/>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Resultado</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Unidad de Medida</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Linea Base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Año Base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P</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Año 1</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Año 2</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Año 3</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 xml:space="preserve">Fin </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333399"/>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b/>
                <w:bCs/>
                <w:color w:val="FFFFFF"/>
                <w:sz w:val="16"/>
                <w:szCs w:val="16"/>
                <w:lang w:val="es-CO" w:eastAsia="es-CO"/>
              </w:rPr>
            </w:pPr>
            <w:r w:rsidRPr="00365474">
              <w:rPr>
                <w:rFonts w:eastAsia="Times New Roman" w:cs="Times New Roman"/>
                <w:b/>
                <w:bCs/>
                <w:color w:val="FFFFFF"/>
                <w:sz w:val="16"/>
                <w:szCs w:val="16"/>
                <w:lang w:val="es-CO" w:eastAsia="es-CO"/>
              </w:rPr>
              <w:t>Medios de Verificación</w:t>
            </w:r>
          </w:p>
        </w:tc>
      </w:tr>
      <w:tr w:rsidR="00365474" w:rsidRPr="00365474" w:rsidTr="00365474">
        <w:trPr>
          <w:trHeight w:val="46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365474" w:rsidRPr="00365474" w:rsidRDefault="00365474" w:rsidP="00365474">
            <w:pPr>
              <w:jc w:val="left"/>
              <w:rPr>
                <w:rFonts w:eastAsia="Times New Roman" w:cs="Times New Roman"/>
                <w:b/>
                <w:bCs/>
                <w:color w:val="FFFFFF"/>
                <w:sz w:val="16"/>
                <w:szCs w:val="16"/>
                <w:lang w:val="es-CO" w:eastAsia="es-CO"/>
              </w:rPr>
            </w:pPr>
          </w:p>
        </w:tc>
      </w:tr>
      <w:tr w:rsidR="00365474" w:rsidRPr="00365474" w:rsidTr="00365474">
        <w:trPr>
          <w:trHeight w:val="255"/>
        </w:trPr>
        <w:tc>
          <w:tcPr>
            <w:tcW w:w="0" w:type="auto"/>
            <w:gridSpan w:val="10"/>
            <w:tcBorders>
              <w:top w:val="single" w:sz="6" w:space="0" w:color="CCCCCC"/>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b/>
                <w:bCs/>
                <w:sz w:val="16"/>
                <w:szCs w:val="16"/>
                <w:lang w:val="es-CO" w:eastAsia="es-CO"/>
              </w:rPr>
            </w:pPr>
            <w:r w:rsidRPr="00365474">
              <w:rPr>
                <w:rFonts w:eastAsia="Times New Roman" w:cs="Times New Roman"/>
                <w:b/>
                <w:bCs/>
                <w:sz w:val="16"/>
                <w:szCs w:val="16"/>
                <w:lang w:val="es-CO" w:eastAsia="es-CO"/>
              </w:rPr>
              <w:t xml:space="preserve">Resultados </w:t>
            </w:r>
          </w:p>
        </w:tc>
      </w:tr>
      <w:tr w:rsidR="00365474" w:rsidRPr="00365474" w:rsidTr="0036547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b/>
                <w:bCs/>
                <w:color w:val="000000"/>
                <w:sz w:val="16"/>
                <w:szCs w:val="16"/>
                <w:lang w:val="es-CO" w:eastAsia="es-CO"/>
              </w:rPr>
              <w:t>Componente 1</w:t>
            </w:r>
            <w:r w:rsidRPr="00365474">
              <w:rPr>
                <w:rFonts w:eastAsia="Times New Roman" w:cs="Times New Roman"/>
                <w:color w:val="000000"/>
                <w:sz w:val="16"/>
                <w:szCs w:val="16"/>
                <w:lang w:val="es-CO" w:eastAsia="es-CO"/>
              </w:rPr>
              <w:t xml:space="preserve">: Impactos de AWD respecto a los indicadores de sostenibilidad </w:t>
            </w:r>
            <w:r w:rsidRPr="00365474">
              <w:rPr>
                <w:rFonts w:eastAsia="Times New Roman" w:cs="Times New Roman"/>
                <w:color w:val="000000"/>
                <w:sz w:val="16"/>
                <w:szCs w:val="16"/>
                <w:lang w:val="es-CO" w:eastAsia="es-CO"/>
              </w:rPr>
              <w:br/>
              <w:t>en los tres países.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cantidad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1 -2 año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*Publicación revisada por pares</w:t>
            </w:r>
            <w:r w:rsidRPr="00365474">
              <w:rPr>
                <w:rFonts w:eastAsia="Times New Roman" w:cs="Times New Roman"/>
                <w:color w:val="000000"/>
                <w:sz w:val="16"/>
                <w:szCs w:val="16"/>
                <w:lang w:val="es-CO" w:eastAsia="es-CO"/>
              </w:rPr>
              <w:br/>
              <w:t>*Materiales de comunicación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color w:val="000000"/>
                <w:sz w:val="16"/>
                <w:szCs w:val="16"/>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*Materiales de comunicación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*Publicación revisada por pares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xml:space="preserve">* Mapas de ubicación y registro de datos </w:t>
            </w:r>
            <w:r w:rsidRPr="00365474">
              <w:rPr>
                <w:rFonts w:eastAsia="Times New Roman" w:cs="Times New Roman"/>
                <w:sz w:val="16"/>
                <w:szCs w:val="16"/>
                <w:lang w:val="es-CO" w:eastAsia="es-CO"/>
              </w:rPr>
              <w:br/>
              <w:t xml:space="preserve">* Reporte de resultados </w:t>
            </w:r>
          </w:p>
        </w:tc>
      </w:tr>
      <w:tr w:rsidR="00365474" w:rsidRPr="00365474" w:rsidTr="00365474">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b/>
                <w:bCs/>
                <w:color w:val="000000"/>
                <w:sz w:val="16"/>
                <w:szCs w:val="16"/>
                <w:lang w:val="es-CO" w:eastAsia="es-CO"/>
              </w:rPr>
              <w:t>Componente 2</w:t>
            </w:r>
            <w:r w:rsidRPr="00365474">
              <w:rPr>
                <w:rFonts w:eastAsia="Times New Roman" w:cs="Times New Roman"/>
                <w:color w:val="000000"/>
                <w:sz w:val="16"/>
                <w:szCs w:val="16"/>
                <w:lang w:val="es-CO" w:eastAsia="es-CO"/>
              </w:rPr>
              <w:t xml:space="preserve">: Evaluación de la implicaciones económicas en términos </w:t>
            </w:r>
            <w:r w:rsidRPr="00365474">
              <w:rPr>
                <w:rFonts w:eastAsia="Times New Roman" w:cs="Times New Roman"/>
                <w:color w:val="000000"/>
                <w:sz w:val="16"/>
                <w:szCs w:val="16"/>
                <w:lang w:val="es-CO" w:eastAsia="es-CO"/>
              </w:rPr>
              <w:br/>
              <w:t>del sistema productivo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cantidad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1 año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 Costos asociados a cada sistema de riego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color w:val="000000"/>
                <w:sz w:val="16"/>
                <w:szCs w:val="16"/>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 Costos asociados a cada sistema de riego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*Informes disponibles</w:t>
            </w:r>
            <w:r w:rsidRPr="00365474">
              <w:rPr>
                <w:rFonts w:eastAsia="Times New Roman" w:cs="Times New Roman"/>
                <w:sz w:val="16"/>
                <w:szCs w:val="16"/>
                <w:lang w:val="es-CO" w:eastAsia="es-CO"/>
              </w:rPr>
              <w:br/>
              <w:t xml:space="preserve">* Documentos de las políticas </w:t>
            </w:r>
            <w:r w:rsidRPr="00365474">
              <w:rPr>
                <w:rFonts w:eastAsia="Times New Roman" w:cs="Times New Roman"/>
                <w:sz w:val="16"/>
                <w:szCs w:val="16"/>
                <w:lang w:val="es-CO" w:eastAsia="es-CO"/>
              </w:rPr>
              <w:br/>
              <w:t>* Reportes socieconomicos</w:t>
            </w:r>
          </w:p>
        </w:tc>
      </w:tr>
      <w:tr w:rsidR="00365474" w:rsidRPr="00365474" w:rsidTr="00365474">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b/>
                <w:bCs/>
                <w:color w:val="000000"/>
                <w:sz w:val="16"/>
                <w:szCs w:val="16"/>
                <w:lang w:val="es-CO" w:eastAsia="es-CO"/>
              </w:rPr>
              <w:t>Componente 3</w:t>
            </w:r>
            <w:r w:rsidRPr="00365474">
              <w:rPr>
                <w:rFonts w:eastAsia="Times New Roman" w:cs="Times New Roman"/>
                <w:color w:val="000000"/>
                <w:sz w:val="16"/>
                <w:szCs w:val="16"/>
                <w:lang w:val="es-CO" w:eastAsia="es-CO"/>
              </w:rPr>
              <w:t>: Evaluaciones biofísicas para validación del modelo DNDC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cantidad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3 año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 xml:space="preserve">* Reporte de sobre la rentabilidad del </w:t>
            </w:r>
            <w:r w:rsidRPr="00365474">
              <w:rPr>
                <w:rFonts w:eastAsia="Times New Roman" w:cs="Times New Roman"/>
                <w:color w:val="000000"/>
                <w:sz w:val="16"/>
                <w:szCs w:val="16"/>
                <w:lang w:val="es-CO" w:eastAsia="es-CO"/>
              </w:rPr>
              <w:br/>
              <w:t xml:space="preserve">sistema bajo diferentes condiciones de </w:t>
            </w:r>
            <w:r w:rsidRPr="00365474">
              <w:rPr>
                <w:rFonts w:eastAsia="Times New Roman" w:cs="Times New Roman"/>
                <w:color w:val="000000"/>
                <w:sz w:val="16"/>
                <w:szCs w:val="16"/>
                <w:lang w:val="es-CO" w:eastAsia="es-CO"/>
              </w:rPr>
              <w:br/>
              <w:t xml:space="preserve">suelo y clima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color w:val="000000"/>
                <w:sz w:val="16"/>
                <w:szCs w:val="16"/>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color w:val="000000"/>
                <w:sz w:val="16"/>
                <w:szCs w:val="16"/>
                <w:lang w:val="es-CO" w:eastAsia="es-CO"/>
              </w:rPr>
              <w:t>* Reporte de sobre la rentabilidad del sistema</w:t>
            </w:r>
            <w:r w:rsidRPr="00365474">
              <w:rPr>
                <w:rFonts w:eastAsia="Times New Roman" w:cs="Times New Roman"/>
                <w:color w:val="000000"/>
                <w:sz w:val="16"/>
                <w:szCs w:val="16"/>
                <w:lang w:val="es-CO" w:eastAsia="es-CO"/>
              </w:rPr>
              <w:br/>
              <w:t>bajo diferentes condiciones</w:t>
            </w:r>
            <w:r w:rsidRPr="00365474">
              <w:rPr>
                <w:rFonts w:eastAsia="Times New Roman" w:cs="Times New Roman"/>
                <w:color w:val="000000"/>
                <w:sz w:val="16"/>
                <w:szCs w:val="16"/>
                <w:lang w:val="es-CO" w:eastAsia="es-CO"/>
              </w:rPr>
              <w:br/>
              <w:t>de suelo y clima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Reporte de las simulaciones de emisiones GEI bajo el modelo DNDC</w:t>
            </w:r>
          </w:p>
        </w:tc>
      </w:tr>
      <w:tr w:rsidR="00365474" w:rsidRPr="00365474" w:rsidTr="00365474">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365474" w:rsidRPr="00365474" w:rsidRDefault="00365474" w:rsidP="00365474">
            <w:pPr>
              <w:jc w:val="center"/>
              <w:rPr>
                <w:rFonts w:eastAsia="Times New Roman" w:cs="Times New Roman"/>
                <w:color w:val="000000"/>
                <w:sz w:val="16"/>
                <w:szCs w:val="16"/>
                <w:lang w:val="es-CO" w:eastAsia="es-CO"/>
              </w:rPr>
            </w:pPr>
            <w:r w:rsidRPr="00365474">
              <w:rPr>
                <w:rFonts w:eastAsia="Times New Roman" w:cs="Times New Roman"/>
                <w:b/>
                <w:bCs/>
                <w:color w:val="000000"/>
                <w:sz w:val="16"/>
                <w:szCs w:val="16"/>
                <w:lang w:val="es-CO" w:eastAsia="es-CO"/>
              </w:rPr>
              <w:t>Componente 4</w:t>
            </w:r>
            <w:r w:rsidRPr="00365474">
              <w:rPr>
                <w:rFonts w:eastAsia="Times New Roman" w:cs="Times New Roman"/>
                <w:color w:val="000000"/>
                <w:sz w:val="16"/>
                <w:szCs w:val="16"/>
                <w:lang w:val="es-CO" w:eastAsia="es-CO"/>
              </w:rPr>
              <w:t xml:space="preserve">:Estrategias de comunicación y extensión específicas a las </w:t>
            </w:r>
            <w:r w:rsidRPr="00365474">
              <w:rPr>
                <w:rFonts w:eastAsia="Times New Roman" w:cs="Times New Roman"/>
                <w:color w:val="000000"/>
                <w:sz w:val="16"/>
                <w:szCs w:val="16"/>
                <w:lang w:val="es-CO" w:eastAsia="es-CO"/>
              </w:rPr>
              <w:br/>
              <w:t>condiciones locales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cantidad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xml:space="preserve">Finalización 3 años y medio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xml:space="preserve">* Documentación de los resultados </w:t>
            </w:r>
            <w:r w:rsidRPr="00365474">
              <w:rPr>
                <w:rFonts w:eastAsia="Times New Roman" w:cs="Times New Roman"/>
                <w:sz w:val="16"/>
                <w:szCs w:val="16"/>
                <w:lang w:val="es-CO" w:eastAsia="es-CO"/>
              </w:rPr>
              <w:br/>
              <w:t>de los procesos de extensión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left"/>
              <w:rPr>
                <w:rFonts w:eastAsia="Times New Roman" w:cs="Times New Roman"/>
                <w:szCs w:val="20"/>
                <w:lang w:val="es-CO"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xml:space="preserve">* Documentación de los resultados </w:t>
            </w:r>
            <w:r w:rsidRPr="00365474">
              <w:rPr>
                <w:rFonts w:eastAsia="Times New Roman" w:cs="Times New Roman"/>
                <w:sz w:val="16"/>
                <w:szCs w:val="16"/>
                <w:lang w:val="es-CO" w:eastAsia="es-CO"/>
              </w:rPr>
              <w:br/>
              <w:t>de los procesos de extensión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365474" w:rsidRPr="00365474" w:rsidRDefault="00365474" w:rsidP="00365474">
            <w:pPr>
              <w:jc w:val="center"/>
              <w:rPr>
                <w:rFonts w:eastAsia="Times New Roman" w:cs="Times New Roman"/>
                <w:sz w:val="16"/>
                <w:szCs w:val="16"/>
                <w:lang w:val="es-CO" w:eastAsia="es-CO"/>
              </w:rPr>
            </w:pPr>
            <w:r w:rsidRPr="00365474">
              <w:rPr>
                <w:rFonts w:eastAsia="Times New Roman" w:cs="Times New Roman"/>
                <w:sz w:val="16"/>
                <w:szCs w:val="16"/>
                <w:lang w:val="es-CO" w:eastAsia="es-CO"/>
              </w:rPr>
              <w:t>* Lista de asistencia a los eventos de transferencia</w:t>
            </w:r>
            <w:r w:rsidRPr="00365474">
              <w:rPr>
                <w:rFonts w:eastAsia="Times New Roman" w:cs="Times New Roman"/>
                <w:sz w:val="16"/>
                <w:szCs w:val="16"/>
                <w:lang w:val="es-CO" w:eastAsia="es-CO"/>
              </w:rPr>
              <w:br/>
              <w:t>*Reporte de los eventos de socialización</w:t>
            </w:r>
          </w:p>
        </w:tc>
      </w:tr>
    </w:tbl>
    <w:p w:rsidR="00C02FE9" w:rsidRPr="00365474" w:rsidRDefault="00C02FE9" w:rsidP="00C02FE9">
      <w:pPr>
        <w:rPr>
          <w:lang w:val="es-CO"/>
        </w:rPr>
      </w:pPr>
    </w:p>
    <w:p w:rsidR="001B1EA4" w:rsidRDefault="001B1EA4" w:rsidP="00C02FE9">
      <w:r w:rsidRPr="001B1EA4">
        <w:rPr>
          <w:noProof/>
          <w:lang w:val="en-US"/>
        </w:rPr>
        <w:lastRenderedPageBreak/>
        <w:drawing>
          <wp:inline distT="0" distB="0" distL="0" distR="0">
            <wp:extent cx="8229600" cy="536836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5368365"/>
                    </a:xfrm>
                    <a:prstGeom prst="rect">
                      <a:avLst/>
                    </a:prstGeom>
                    <a:noFill/>
                    <a:ln>
                      <a:noFill/>
                    </a:ln>
                  </pic:spPr>
                </pic:pic>
              </a:graphicData>
            </a:graphic>
          </wp:inline>
        </w:drawing>
      </w:r>
    </w:p>
    <w:p w:rsidR="001B1EA4" w:rsidRDefault="001B1EA4" w:rsidP="00C02FE9"/>
    <w:p w:rsidR="001B1EA4" w:rsidRDefault="001B1EA4" w:rsidP="00C02FE9"/>
    <w:p w:rsidR="00C02FE9" w:rsidRPr="000B7E0D" w:rsidRDefault="00C02FE9" w:rsidP="00C02FE9">
      <w:r w:rsidRPr="000B7E0D">
        <w:t xml:space="preserve">Notas: </w:t>
      </w:r>
      <w:r w:rsidRPr="000B7E0D">
        <w:rPr>
          <w:b/>
        </w:rPr>
        <w:t>[1] Tema:</w:t>
      </w:r>
      <w:r w:rsidRPr="000B7E0D">
        <w:t xml:space="preserve"> Seleccionar de la base de datos entre: Energía Sostenible y Cambio Climático, Biodiversidad, Seguridad Alimentaria y Agricultura. </w:t>
      </w:r>
    </w:p>
    <w:p w:rsidR="00C02FE9" w:rsidRPr="00523C23" w:rsidRDefault="00C02FE9" w:rsidP="00523C23">
      <w:pPr>
        <w:sectPr w:rsidR="00C02FE9" w:rsidRPr="00523C23" w:rsidSect="00985AD4">
          <w:pgSz w:w="15840" w:h="12240" w:orient="landscape"/>
          <w:pgMar w:top="1800" w:right="1440" w:bottom="1800" w:left="1440" w:header="720" w:footer="720" w:gutter="0"/>
          <w:cols w:space="720"/>
          <w:docGrid w:linePitch="360"/>
        </w:sectPr>
      </w:pPr>
      <w:r w:rsidRPr="000B7E0D">
        <w:rPr>
          <w:b/>
        </w:rPr>
        <w:t>[2] Grupo Producto Estándar:</w:t>
      </w:r>
      <w:r w:rsidRPr="000B7E0D">
        <w:t xml:space="preserve"> Seleccionar de la base de datos. Por ejemplo: Diseños de Ingeniería, Salvaguardias, Estudios de proyecto y propuestas, Plan de implementatción y gestión, Plan de seguimiento y evaluación, Plan de adquisición, Estudios Climatológicos, entre otros. </w:t>
      </w:r>
      <w:r w:rsidRPr="000B7E0D">
        <w:rPr>
          <w:b/>
        </w:rPr>
        <w:t>[3] Indicador Producto Estándar:</w:t>
      </w:r>
      <w:r w:rsidRPr="000B7E0D">
        <w:t xml:space="preserve"> Seleccionar de la base de datos. Por ejemplo “Estudio de factibilidad, Individuos capacitados, Sistema de información generados, etc. </w:t>
      </w:r>
      <w:r w:rsidRPr="000B7E0D">
        <w:rPr>
          <w:b/>
        </w:rPr>
        <w:t xml:space="preserve">[4] Indicador de Fondo o Indicador: </w:t>
      </w:r>
      <w:r w:rsidRPr="000B7E0D">
        <w:t>este indicador lo provee la base de datos. Sin embrago, puede crearse uno nuevo en caso de ser necesario.</w:t>
      </w:r>
      <w:r w:rsidRPr="000B7E0D">
        <w:rPr>
          <w:b/>
        </w:rPr>
        <w:t xml:space="preserve"> [5] Año Base:</w:t>
      </w:r>
      <w:r w:rsidRPr="000B7E0D">
        <w:t xml:space="preserve"> año de la línea base del indicador</w:t>
      </w:r>
      <w:r w:rsidRPr="000B7E0D">
        <w:rPr>
          <w:b/>
        </w:rPr>
        <w:t>.</w:t>
      </w:r>
      <w:r w:rsidRPr="000B7E0D">
        <w:t xml:space="preserve"> </w:t>
      </w:r>
      <w:r w:rsidRPr="000B7E0D">
        <w:rPr>
          <w:b/>
        </w:rPr>
        <w:t>[6] Línea Base</w:t>
      </w:r>
      <w:r w:rsidRPr="000B7E0D">
        <w:t>: Valor de la línea base del indicador.</w:t>
      </w:r>
      <w:r w:rsidRPr="000B7E0D">
        <w:rPr>
          <w:b/>
        </w:rPr>
        <w:t xml:space="preserve"> [7] P</w:t>
      </w:r>
      <w:r w:rsidRPr="000B7E0D">
        <w:t xml:space="preserve">: Productos planificados (original) - </w:t>
      </w:r>
      <w:r w:rsidRPr="000B7E0D">
        <w:rPr>
          <w:b/>
        </w:rPr>
        <w:t>P(a): P</w:t>
      </w:r>
      <w:r w:rsidRPr="000B7E0D">
        <w:t>roductos Planificados (anual): lo realiza la STA y se actualiza a principio del año corriente, de acuerdo con el avance logrado hasta el último período de reporte -</w:t>
      </w:r>
      <w:r w:rsidRPr="000B7E0D">
        <w:rPr>
          <w:b/>
        </w:rPr>
        <w:t xml:space="preserve"> A:</w:t>
      </w:r>
      <w:r w:rsidRPr="000B7E0D">
        <w:t xml:space="preserve"> Productos conseguidos: lo registra la STA, y solo sobre lo entregado en el período de reporte. </w:t>
      </w:r>
      <w:r w:rsidRPr="000B7E0D">
        <w:rPr>
          <w:b/>
        </w:rPr>
        <w:t>[8] Año:</w:t>
      </w:r>
      <w:r w:rsidRPr="000B7E0D">
        <w:t xml:space="preserve"> 1, 2 y 3: se registra la cantidad esperada por indicador. </w:t>
      </w:r>
      <w:r w:rsidRPr="000B7E0D">
        <w:rPr>
          <w:b/>
        </w:rPr>
        <w:t xml:space="preserve">[9] Fin: </w:t>
      </w:r>
      <w:r w:rsidRPr="000B7E0D">
        <w:t xml:space="preserve">se coloca el valor total resultante de la suma de valores anuales. </w:t>
      </w:r>
      <w:r w:rsidRPr="000B7E0D">
        <w:rPr>
          <w:b/>
        </w:rPr>
        <w:t>[10] Medio de Verificación</w:t>
      </w:r>
      <w:r w:rsidRPr="000B7E0D">
        <w:t xml:space="preserve">: se describe el medio de verificación que permitirá constatar el alcence del producto. Por ejemplo: Reporte de la unidad ejecutora, Documento Final, Lista de asistencia al taller, etc. </w:t>
      </w:r>
      <w:r w:rsidRPr="000B7E0D">
        <w:rPr>
          <w:b/>
        </w:rPr>
        <w:t xml:space="preserve">[11] Costo: </w:t>
      </w:r>
      <w:r w:rsidRPr="000B7E0D">
        <w:t>Colocar el c</w:t>
      </w:r>
      <w:r w:rsidR="00523C23">
        <w:t xml:space="preserve">osto por año y el costo total. </w:t>
      </w:r>
    </w:p>
    <w:p w:rsidR="00F017D1" w:rsidRPr="000B7E0D" w:rsidRDefault="00F017D1" w:rsidP="00F017D1"/>
    <w:p w:rsidR="00482AD9" w:rsidRPr="00797372" w:rsidRDefault="00482AD9" w:rsidP="00405213">
      <w:pPr>
        <w:pStyle w:val="ListParagraph"/>
        <w:numPr>
          <w:ilvl w:val="1"/>
          <w:numId w:val="13"/>
        </w:numPr>
        <w:rPr>
          <w:rFonts w:cs="Times New Roman"/>
          <w:sz w:val="22"/>
        </w:rPr>
      </w:pPr>
      <w:r w:rsidRPr="00797372">
        <w:rPr>
          <w:rFonts w:cs="Times New Roman"/>
          <w:sz w:val="22"/>
        </w:rPr>
        <w:t>Anexo IV. Cronograma</w:t>
      </w:r>
    </w:p>
    <w:p w:rsidR="00523C23" w:rsidRDefault="00523C23" w:rsidP="00B53B6A">
      <w:pPr>
        <w:pStyle w:val="ListParagraph"/>
        <w:numPr>
          <w:ilvl w:val="0"/>
          <w:numId w:val="0"/>
        </w:numPr>
        <w:ind w:left="720"/>
        <w:rPr>
          <w:rFonts w:cs="Times New Roman"/>
        </w:rPr>
      </w:pPr>
    </w:p>
    <w:p w:rsidR="00523C23" w:rsidRPr="000B7E0D" w:rsidRDefault="00523C23" w:rsidP="00B53B6A">
      <w:pPr>
        <w:pStyle w:val="ListParagraph"/>
        <w:numPr>
          <w:ilvl w:val="0"/>
          <w:numId w:val="0"/>
        </w:numPr>
        <w:ind w:left="720"/>
        <w:rPr>
          <w:rFonts w:cs="Times New Roman"/>
        </w:rPr>
      </w:pPr>
      <w:r w:rsidRPr="00523C23">
        <w:rPr>
          <w:noProof/>
          <w:lang w:val="en-US"/>
        </w:rPr>
        <w:drawing>
          <wp:inline distT="0" distB="0" distL="0" distR="0" wp14:anchorId="65D9BFD6" wp14:editId="0F7C73F8">
            <wp:extent cx="7913914" cy="457065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8825" cy="4579264"/>
                    </a:xfrm>
                    <a:prstGeom prst="rect">
                      <a:avLst/>
                    </a:prstGeom>
                    <a:noFill/>
                    <a:ln>
                      <a:noFill/>
                    </a:ln>
                  </pic:spPr>
                </pic:pic>
              </a:graphicData>
            </a:graphic>
          </wp:inline>
        </w:drawing>
      </w:r>
    </w:p>
    <w:p w:rsidR="00482AD9" w:rsidRPr="000B7E0D" w:rsidRDefault="00482AD9" w:rsidP="00482AD9"/>
    <w:p w:rsidR="00523C23" w:rsidRDefault="00523C23" w:rsidP="00482AD9"/>
    <w:p w:rsidR="00523C23" w:rsidRDefault="00523C23" w:rsidP="00482AD9"/>
    <w:p w:rsidR="00523C23" w:rsidRPr="000B7E0D" w:rsidRDefault="00523C23" w:rsidP="00482AD9"/>
    <w:p w:rsidR="00F017D1" w:rsidRPr="00797372" w:rsidRDefault="00482AD9" w:rsidP="00405213">
      <w:pPr>
        <w:pStyle w:val="ListParagraph"/>
        <w:numPr>
          <w:ilvl w:val="1"/>
          <w:numId w:val="13"/>
        </w:numPr>
        <w:rPr>
          <w:rFonts w:cs="Times New Roman"/>
          <w:sz w:val="22"/>
        </w:rPr>
      </w:pPr>
      <w:r w:rsidRPr="00797372">
        <w:rPr>
          <w:rFonts w:cs="Times New Roman"/>
          <w:sz w:val="22"/>
        </w:rPr>
        <w:t xml:space="preserve">Anexo </w:t>
      </w:r>
      <w:r w:rsidR="00F017D1" w:rsidRPr="00797372">
        <w:rPr>
          <w:rFonts w:cs="Times New Roman"/>
          <w:sz w:val="22"/>
        </w:rPr>
        <w:t>V. Evidencias de  representación legal y trayectoria de las instituciones participantes</w:t>
      </w:r>
    </w:p>
    <w:p w:rsidR="001F3238" w:rsidRPr="000B7E0D" w:rsidRDefault="001F3238" w:rsidP="001F3238">
      <w:pPr>
        <w:rPr>
          <w:rFonts w:cs="Times New Roman"/>
        </w:rPr>
      </w:pPr>
    </w:p>
    <w:tbl>
      <w:tblPr>
        <w:tblpPr w:leftFromText="180" w:rightFromText="180" w:vertAnchor="text" w:horzAnchor="margin" w:tblpXSpec="center" w:tblpY="541"/>
        <w:tblW w:w="1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2003"/>
        <w:gridCol w:w="2199"/>
        <w:gridCol w:w="1499"/>
        <w:gridCol w:w="1667"/>
        <w:gridCol w:w="2532"/>
      </w:tblGrid>
      <w:tr w:rsidR="00F017D1" w:rsidRPr="000B7E0D" w:rsidTr="00922281">
        <w:tc>
          <w:tcPr>
            <w:tcW w:w="2003" w:type="dxa"/>
            <w:shd w:val="clear" w:color="auto" w:fill="E6E6E6"/>
          </w:tcPr>
          <w:p w:rsidR="00F017D1" w:rsidRPr="000B7E0D" w:rsidRDefault="00F017D1" w:rsidP="00ED7014">
            <w:pPr>
              <w:tabs>
                <w:tab w:val="left" w:pos="900"/>
              </w:tabs>
              <w:jc w:val="center"/>
              <w:rPr>
                <w:rFonts w:cs="Times New Roman"/>
                <w:b/>
                <w:color w:val="000000"/>
                <w:szCs w:val="20"/>
              </w:rPr>
            </w:pPr>
            <w:r w:rsidRPr="000B7E0D">
              <w:rPr>
                <w:rFonts w:cs="Times New Roman"/>
                <w:b/>
                <w:color w:val="000000"/>
                <w:szCs w:val="20"/>
              </w:rPr>
              <w:t>Institución /País</w:t>
            </w:r>
          </w:p>
        </w:tc>
        <w:tc>
          <w:tcPr>
            <w:tcW w:w="2003" w:type="dxa"/>
            <w:shd w:val="clear" w:color="auto" w:fill="E6E6E6"/>
          </w:tcPr>
          <w:p w:rsidR="00F017D1" w:rsidRPr="000B7E0D" w:rsidRDefault="00F017D1" w:rsidP="00ED7014">
            <w:pPr>
              <w:tabs>
                <w:tab w:val="left" w:pos="900"/>
              </w:tabs>
              <w:jc w:val="center"/>
              <w:rPr>
                <w:rFonts w:cs="Times New Roman"/>
                <w:b/>
                <w:color w:val="000000"/>
                <w:szCs w:val="20"/>
              </w:rPr>
            </w:pPr>
            <w:r w:rsidRPr="000B7E0D">
              <w:rPr>
                <w:rFonts w:cs="Times New Roman"/>
                <w:b/>
                <w:color w:val="000000"/>
                <w:szCs w:val="20"/>
              </w:rPr>
              <w:t>Representante Legal</w:t>
            </w:r>
          </w:p>
        </w:tc>
        <w:tc>
          <w:tcPr>
            <w:tcW w:w="2199" w:type="dxa"/>
            <w:shd w:val="clear" w:color="auto" w:fill="E6E6E6"/>
          </w:tcPr>
          <w:p w:rsidR="00F017D1" w:rsidRPr="000B7E0D" w:rsidRDefault="00F017D1" w:rsidP="00ED7014">
            <w:pPr>
              <w:tabs>
                <w:tab w:val="left" w:pos="900"/>
              </w:tabs>
              <w:rPr>
                <w:rFonts w:cs="Times New Roman"/>
                <w:b/>
                <w:color w:val="000000"/>
                <w:szCs w:val="20"/>
              </w:rPr>
            </w:pPr>
            <w:r w:rsidRPr="000B7E0D">
              <w:rPr>
                <w:rFonts w:cs="Times New Roman"/>
                <w:b/>
                <w:color w:val="000000"/>
                <w:szCs w:val="20"/>
              </w:rPr>
              <w:t>Responsable del Proyecto</w:t>
            </w:r>
          </w:p>
        </w:tc>
        <w:tc>
          <w:tcPr>
            <w:tcW w:w="1499" w:type="dxa"/>
            <w:shd w:val="clear" w:color="auto" w:fill="E6E6E6"/>
          </w:tcPr>
          <w:p w:rsidR="00F017D1" w:rsidRPr="000B7E0D" w:rsidRDefault="00F017D1" w:rsidP="00ED7014">
            <w:pPr>
              <w:tabs>
                <w:tab w:val="left" w:pos="900"/>
              </w:tabs>
              <w:jc w:val="center"/>
              <w:rPr>
                <w:rFonts w:cs="Times New Roman"/>
                <w:b/>
                <w:color w:val="000000"/>
                <w:szCs w:val="20"/>
              </w:rPr>
            </w:pPr>
            <w:r w:rsidRPr="000B7E0D">
              <w:rPr>
                <w:rFonts w:cs="Times New Roman"/>
                <w:b/>
                <w:color w:val="000000"/>
                <w:szCs w:val="20"/>
              </w:rPr>
              <w:t>Rol</w:t>
            </w:r>
          </w:p>
        </w:tc>
        <w:tc>
          <w:tcPr>
            <w:tcW w:w="1667" w:type="dxa"/>
            <w:shd w:val="clear" w:color="auto" w:fill="E6E6E6"/>
          </w:tcPr>
          <w:p w:rsidR="00F017D1" w:rsidRPr="000B7E0D" w:rsidRDefault="00F017D1" w:rsidP="00ED7014">
            <w:pPr>
              <w:tabs>
                <w:tab w:val="left" w:pos="900"/>
              </w:tabs>
              <w:jc w:val="center"/>
              <w:rPr>
                <w:rFonts w:cs="Times New Roman"/>
                <w:b/>
                <w:color w:val="000000"/>
                <w:szCs w:val="20"/>
              </w:rPr>
            </w:pPr>
            <w:r w:rsidRPr="000B7E0D">
              <w:rPr>
                <w:rFonts w:cs="Times New Roman"/>
                <w:b/>
                <w:color w:val="000000"/>
                <w:szCs w:val="20"/>
              </w:rPr>
              <w:t>Dedicación en % al proyecto</w:t>
            </w:r>
          </w:p>
        </w:tc>
        <w:tc>
          <w:tcPr>
            <w:tcW w:w="2532" w:type="dxa"/>
            <w:shd w:val="clear" w:color="auto" w:fill="E6E6E6"/>
          </w:tcPr>
          <w:p w:rsidR="00F017D1" w:rsidRPr="000B7E0D" w:rsidRDefault="00F017D1" w:rsidP="00ED7014">
            <w:pPr>
              <w:tabs>
                <w:tab w:val="left" w:pos="900"/>
              </w:tabs>
              <w:jc w:val="center"/>
              <w:rPr>
                <w:rFonts w:cs="Times New Roman"/>
                <w:b/>
                <w:color w:val="000000"/>
                <w:szCs w:val="20"/>
              </w:rPr>
            </w:pPr>
            <w:r w:rsidRPr="000B7E0D">
              <w:rPr>
                <w:rFonts w:cs="Times New Roman"/>
                <w:b/>
                <w:color w:val="000000"/>
                <w:szCs w:val="20"/>
              </w:rPr>
              <w:t>Tareas principales a realizar</w:t>
            </w:r>
          </w:p>
        </w:tc>
      </w:tr>
      <w:tr w:rsidR="00031E5A" w:rsidRPr="000B7E0D" w:rsidTr="00922281">
        <w:tc>
          <w:tcPr>
            <w:tcW w:w="2003" w:type="dxa"/>
            <w:vAlign w:val="center"/>
          </w:tcPr>
          <w:p w:rsidR="00031E5A" w:rsidRPr="00031E5A" w:rsidRDefault="00031E5A" w:rsidP="00031E5A">
            <w:pPr>
              <w:tabs>
                <w:tab w:val="left" w:pos="2520"/>
              </w:tabs>
              <w:spacing w:before="75" w:after="75"/>
              <w:rPr>
                <w:rFonts w:cs="Times New Roman"/>
                <w:color w:val="000000"/>
                <w:sz w:val="22"/>
              </w:rPr>
            </w:pPr>
            <w:r w:rsidRPr="00031E5A">
              <w:rPr>
                <w:color w:val="000000"/>
                <w:sz w:val="22"/>
              </w:rPr>
              <w:t>Universidad Nacional Agraria La Molina UNALM</w:t>
            </w:r>
          </w:p>
        </w:tc>
        <w:tc>
          <w:tcPr>
            <w:tcW w:w="2003"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Enrique Flores Mariazza PhD</w:t>
            </w:r>
          </w:p>
        </w:tc>
        <w:tc>
          <w:tcPr>
            <w:tcW w:w="2199"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Elizabeth Consuelo Heros Aguilar</w:t>
            </w:r>
          </w:p>
        </w:tc>
        <w:tc>
          <w:tcPr>
            <w:tcW w:w="1499"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Investigadora</w:t>
            </w:r>
          </w:p>
        </w:tc>
        <w:tc>
          <w:tcPr>
            <w:tcW w:w="1667"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20</w:t>
            </w:r>
          </w:p>
        </w:tc>
        <w:tc>
          <w:tcPr>
            <w:tcW w:w="2532" w:type="dxa"/>
          </w:tcPr>
          <w:p w:rsidR="00031E5A" w:rsidRPr="000B7E0D" w:rsidRDefault="00031E5A" w:rsidP="00031E5A">
            <w:pPr>
              <w:tabs>
                <w:tab w:val="left" w:pos="2520"/>
              </w:tabs>
              <w:spacing w:before="75" w:after="75"/>
              <w:rPr>
                <w:rFonts w:cs="Times New Roman"/>
                <w:color w:val="000000"/>
                <w:szCs w:val="20"/>
              </w:rPr>
            </w:pPr>
            <w:r>
              <w:rPr>
                <w:color w:val="000000"/>
              </w:rPr>
              <w:t>Ejecución, seguimiento y  monitoreo del proyecto en Perú</w:t>
            </w:r>
          </w:p>
        </w:tc>
      </w:tr>
      <w:tr w:rsidR="00031E5A" w:rsidRPr="000B7E0D" w:rsidTr="00922281">
        <w:tc>
          <w:tcPr>
            <w:tcW w:w="2003" w:type="dxa"/>
            <w:vAlign w:val="center"/>
          </w:tcPr>
          <w:p w:rsidR="00031E5A" w:rsidRPr="00031E5A" w:rsidRDefault="00031E5A" w:rsidP="00031E5A">
            <w:pPr>
              <w:tabs>
                <w:tab w:val="left" w:pos="2520"/>
              </w:tabs>
              <w:spacing w:before="75" w:after="75"/>
              <w:rPr>
                <w:rFonts w:cs="Times New Roman"/>
                <w:color w:val="000000"/>
                <w:sz w:val="22"/>
              </w:rPr>
            </w:pPr>
            <w:r w:rsidRPr="00031E5A">
              <w:rPr>
                <w:color w:val="000000"/>
                <w:sz w:val="22"/>
              </w:rPr>
              <w:t>Instituto de Investigaciones Agropecuarias (INIA)</w:t>
            </w:r>
          </w:p>
        </w:tc>
        <w:tc>
          <w:tcPr>
            <w:tcW w:w="2003"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Julio Kalazich B.</w:t>
            </w:r>
          </w:p>
        </w:tc>
        <w:tc>
          <w:tcPr>
            <w:tcW w:w="2199"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Oscar Mario Paredes C.</w:t>
            </w:r>
          </w:p>
        </w:tc>
        <w:tc>
          <w:tcPr>
            <w:tcW w:w="1499"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Investigador</w:t>
            </w:r>
          </w:p>
        </w:tc>
        <w:tc>
          <w:tcPr>
            <w:tcW w:w="1667"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20</w:t>
            </w:r>
          </w:p>
        </w:tc>
        <w:tc>
          <w:tcPr>
            <w:tcW w:w="2532" w:type="dxa"/>
          </w:tcPr>
          <w:p w:rsidR="00031E5A" w:rsidRPr="000B7E0D" w:rsidRDefault="00031E5A" w:rsidP="00031E5A">
            <w:pPr>
              <w:tabs>
                <w:tab w:val="left" w:pos="2520"/>
              </w:tabs>
              <w:spacing w:before="75" w:after="75"/>
              <w:rPr>
                <w:rFonts w:cs="Times New Roman"/>
                <w:color w:val="000000"/>
                <w:szCs w:val="20"/>
              </w:rPr>
            </w:pPr>
            <w:r>
              <w:rPr>
                <w:color w:val="000000"/>
              </w:rPr>
              <w:t>Ejecución, seguimiento y monitoreo del proyecto en Chile</w:t>
            </w:r>
          </w:p>
        </w:tc>
      </w:tr>
      <w:tr w:rsidR="00031E5A" w:rsidRPr="000B7E0D" w:rsidTr="00922281">
        <w:tc>
          <w:tcPr>
            <w:tcW w:w="2003" w:type="dxa"/>
            <w:vAlign w:val="center"/>
          </w:tcPr>
          <w:p w:rsidR="00031E5A" w:rsidRPr="00031E5A" w:rsidRDefault="00031E5A" w:rsidP="00031E5A">
            <w:pPr>
              <w:tabs>
                <w:tab w:val="left" w:pos="2520"/>
              </w:tabs>
              <w:spacing w:before="75" w:after="75"/>
              <w:rPr>
                <w:rFonts w:cs="Times New Roman"/>
                <w:color w:val="000000"/>
                <w:sz w:val="22"/>
              </w:rPr>
            </w:pPr>
            <w:r w:rsidRPr="00031E5A">
              <w:rPr>
                <w:color w:val="000000"/>
                <w:sz w:val="22"/>
              </w:rPr>
              <w:t xml:space="preserve">Federación Nacional de Arroceros FEDEARROZ </w:t>
            </w:r>
          </w:p>
        </w:tc>
        <w:tc>
          <w:tcPr>
            <w:tcW w:w="2003"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Rafael Hernández Lozano</w:t>
            </w:r>
          </w:p>
        </w:tc>
        <w:tc>
          <w:tcPr>
            <w:tcW w:w="2199"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Myriam Patricia Guzmán G.</w:t>
            </w:r>
          </w:p>
        </w:tc>
        <w:tc>
          <w:tcPr>
            <w:tcW w:w="1499" w:type="dxa"/>
            <w:vAlign w:val="center"/>
          </w:tcPr>
          <w:p w:rsidR="00031E5A" w:rsidRPr="000B7E0D" w:rsidRDefault="00922281" w:rsidP="00922281">
            <w:pPr>
              <w:tabs>
                <w:tab w:val="left" w:pos="2520"/>
              </w:tabs>
              <w:spacing w:before="75" w:after="75"/>
              <w:jc w:val="center"/>
              <w:rPr>
                <w:rFonts w:cs="Times New Roman"/>
                <w:color w:val="000000"/>
                <w:szCs w:val="20"/>
              </w:rPr>
            </w:pPr>
            <w:r>
              <w:rPr>
                <w:color w:val="000000"/>
              </w:rPr>
              <w:t xml:space="preserve">Investigador </w:t>
            </w:r>
            <w:r w:rsidR="00031E5A">
              <w:rPr>
                <w:color w:val="000000"/>
              </w:rPr>
              <w:t>Administrador</w:t>
            </w:r>
          </w:p>
        </w:tc>
        <w:tc>
          <w:tcPr>
            <w:tcW w:w="1667" w:type="dxa"/>
            <w:vAlign w:val="center"/>
          </w:tcPr>
          <w:p w:rsidR="00031E5A" w:rsidRPr="000B7E0D" w:rsidRDefault="00031E5A" w:rsidP="00031E5A">
            <w:pPr>
              <w:tabs>
                <w:tab w:val="left" w:pos="2520"/>
              </w:tabs>
              <w:spacing w:before="75" w:after="75"/>
              <w:rPr>
                <w:rFonts w:cs="Times New Roman"/>
                <w:color w:val="000000"/>
                <w:szCs w:val="20"/>
              </w:rPr>
            </w:pPr>
            <w:r>
              <w:rPr>
                <w:color w:val="000000"/>
              </w:rPr>
              <w:t>20</w:t>
            </w:r>
          </w:p>
        </w:tc>
        <w:tc>
          <w:tcPr>
            <w:tcW w:w="2532" w:type="dxa"/>
          </w:tcPr>
          <w:p w:rsidR="00031E5A" w:rsidRPr="000B7E0D" w:rsidRDefault="00031E5A" w:rsidP="00031E5A">
            <w:pPr>
              <w:tabs>
                <w:tab w:val="left" w:pos="2520"/>
              </w:tabs>
              <w:spacing w:before="75" w:after="75"/>
              <w:rPr>
                <w:rFonts w:cs="Times New Roman"/>
                <w:color w:val="000000"/>
                <w:szCs w:val="20"/>
              </w:rPr>
            </w:pPr>
            <w:r>
              <w:rPr>
                <w:color w:val="000000"/>
              </w:rPr>
              <w:t>Ejecución, seguimiento del proyecto en Colombia y Coordinación y administración del proyecto.</w:t>
            </w:r>
          </w:p>
        </w:tc>
      </w:tr>
    </w:tbl>
    <w:p w:rsidR="009E4AFA" w:rsidRPr="000B7E0D" w:rsidRDefault="009E4AFA" w:rsidP="009E4AFA"/>
    <w:p w:rsidR="009E4AFA" w:rsidRPr="000B7E0D" w:rsidRDefault="009E4AFA" w:rsidP="009E4AFA"/>
    <w:p w:rsidR="009E4AFA" w:rsidRPr="000B7E0D" w:rsidRDefault="009E4AFA" w:rsidP="009E4AFA">
      <w:pPr>
        <w:sectPr w:rsidR="009E4AFA" w:rsidRPr="000B7E0D" w:rsidSect="009E4AFA">
          <w:headerReference w:type="default" r:id="rId14"/>
          <w:footerReference w:type="default" r:id="rId15"/>
          <w:pgSz w:w="15840" w:h="12240" w:orient="landscape"/>
          <w:pgMar w:top="1800" w:right="1440" w:bottom="1800" w:left="1440" w:header="720" w:footer="720" w:gutter="0"/>
          <w:cols w:space="720"/>
          <w:docGrid w:linePitch="360"/>
        </w:sectPr>
      </w:pPr>
    </w:p>
    <w:p w:rsidR="001F3238" w:rsidRPr="00797372" w:rsidRDefault="00E47EEA" w:rsidP="00405213">
      <w:pPr>
        <w:pStyle w:val="ListParagraph"/>
        <w:numPr>
          <w:ilvl w:val="1"/>
          <w:numId w:val="13"/>
        </w:numPr>
        <w:rPr>
          <w:rFonts w:cs="Times New Roman"/>
          <w:sz w:val="22"/>
        </w:rPr>
      </w:pPr>
      <w:r w:rsidRPr="00797372">
        <w:rPr>
          <w:rFonts w:cs="Times New Roman"/>
          <w:sz w:val="22"/>
        </w:rPr>
        <w:lastRenderedPageBreak/>
        <w:t xml:space="preserve">Anexo </w:t>
      </w:r>
      <w:r w:rsidR="001F3238" w:rsidRPr="00797372">
        <w:rPr>
          <w:rFonts w:cs="Times New Roman"/>
          <w:sz w:val="22"/>
        </w:rPr>
        <w:t>V</w:t>
      </w:r>
      <w:r w:rsidR="003A5C34" w:rsidRPr="00797372">
        <w:rPr>
          <w:rFonts w:cs="Times New Roman"/>
          <w:sz w:val="22"/>
        </w:rPr>
        <w:t>I</w:t>
      </w:r>
      <w:r w:rsidR="001F3238" w:rsidRPr="00797372">
        <w:rPr>
          <w:rFonts w:cs="Times New Roman"/>
          <w:sz w:val="22"/>
        </w:rPr>
        <w:t xml:space="preserve">. Curriculum Vitae </w:t>
      </w:r>
      <w:r w:rsidR="001C1F66" w:rsidRPr="00797372">
        <w:rPr>
          <w:rFonts w:cs="Times New Roman"/>
          <w:sz w:val="22"/>
        </w:rPr>
        <w:t>resumido</w:t>
      </w:r>
    </w:p>
    <w:p w:rsidR="001C1F66" w:rsidRPr="000B7E0D" w:rsidRDefault="001C1F66" w:rsidP="001C1F66">
      <w:pPr>
        <w:ind w:left="360"/>
        <w:rPr>
          <w:rFonts w:cs="Times New Roman"/>
          <w:bCs/>
          <w:color w:val="0000FF"/>
          <w:szCs w:val="20"/>
          <w:highlight w:val="lightGray"/>
        </w:rPr>
      </w:pPr>
    </w:p>
    <w:tbl>
      <w:tblPr>
        <w:tblStyle w:val="TableGrid"/>
        <w:tblW w:w="0" w:type="auto"/>
        <w:tblLook w:val="04A0" w:firstRow="1" w:lastRow="0" w:firstColumn="1" w:lastColumn="0" w:noHBand="0" w:noVBand="1"/>
      </w:tblPr>
      <w:tblGrid>
        <w:gridCol w:w="8630"/>
      </w:tblGrid>
      <w:tr w:rsidR="001C1F66" w:rsidRPr="000B7E0D" w:rsidTr="001C1F66">
        <w:tc>
          <w:tcPr>
            <w:tcW w:w="8856" w:type="dxa"/>
          </w:tcPr>
          <w:p w:rsidR="00745864" w:rsidRPr="00745864" w:rsidRDefault="00745864" w:rsidP="00745864">
            <w:pPr>
              <w:pStyle w:val="NormalWeb"/>
              <w:spacing w:before="0" w:beforeAutospacing="0" w:after="0" w:afterAutospacing="0"/>
              <w:jc w:val="both"/>
              <w:rPr>
                <w:sz w:val="22"/>
                <w:szCs w:val="22"/>
              </w:rPr>
            </w:pPr>
            <w:r w:rsidRPr="00745864">
              <w:rPr>
                <w:b/>
                <w:color w:val="000000"/>
                <w:sz w:val="22"/>
                <w:szCs w:val="22"/>
              </w:rPr>
              <w:t>Rafael Hernández Lozano,</w:t>
            </w:r>
            <w:r w:rsidRPr="00745864">
              <w:rPr>
                <w:color w:val="000000"/>
                <w:sz w:val="22"/>
                <w:szCs w:val="22"/>
              </w:rPr>
              <w:t xml:space="preserve"> Ingeniero Agrónomo de la Universidad del Tolima, con estudios en Ingeniería Civil, Riegos y Drenajes, Tecnología del Arroz, del Algodón y Semillas. en el ejercicio de su carrera profesional se inició en 1972, cuando ingresó a la Federación Nacional de Arroceros FEDEARROZ, en la seccional de Neiva para prestar asistencia Técnica y ser luego jefe de la planta de semillas certificadas en esa ciudad. posteriormente ocupó el cargo de director ejecutivo en la seccional de Ibagué, sub-gerente Técnico y sub-gerente Comercial, de donde pasó a ser el gerente general de la Federación cargo que ocupa desde 1990. A partir de esta fecha está bajo su responsabilidad la dirección de la revista Arroz, publicación técnica del gremio productor del arroz que lleva 65 años de labor informativa de manera ininterrumpida y que goza de gran reconocimiento a nivel nacional e internacional. También ha escrito diversos artículos para publicaciones especializadas de la Universidad del Tolima, el CIAT, el ICA y la revista ARCO, entre otros.</w:t>
            </w:r>
            <w:r>
              <w:rPr>
                <w:color w:val="000000"/>
                <w:sz w:val="22"/>
                <w:szCs w:val="22"/>
              </w:rPr>
              <w:t xml:space="preserve"> E</w:t>
            </w:r>
            <w:r w:rsidRPr="00745864">
              <w:rPr>
                <w:color w:val="000000"/>
                <w:sz w:val="22"/>
                <w:szCs w:val="22"/>
              </w:rPr>
              <w:t>n desarrollo de su labor gremial y con el fin de ofrecer alternativas de tecnificación al sector arrocero nacional, promovió la creación del Fondo Latinoamericano de Arroz Riego FLAR, organismo del cual ha sido presidente del consejo directivo.</w:t>
            </w:r>
          </w:p>
          <w:p w:rsidR="00745864" w:rsidRPr="00745864" w:rsidRDefault="00745864" w:rsidP="00745864">
            <w:pPr>
              <w:jc w:val="left"/>
              <w:rPr>
                <w:rFonts w:eastAsia="Times New Roman" w:cs="Times New Roman"/>
                <w:sz w:val="22"/>
                <w:lang w:val="es-CO" w:eastAsia="es-CO"/>
              </w:rPr>
            </w:pPr>
          </w:p>
          <w:p w:rsidR="00745864" w:rsidRPr="00745864" w:rsidRDefault="00745864" w:rsidP="00745864">
            <w:pPr>
              <w:rPr>
                <w:rFonts w:eastAsia="Times New Roman" w:cs="Times New Roman"/>
                <w:sz w:val="22"/>
                <w:lang w:val="es-CO" w:eastAsia="es-CO"/>
              </w:rPr>
            </w:pPr>
            <w:r w:rsidRPr="00745864">
              <w:rPr>
                <w:rFonts w:eastAsia="Times New Roman" w:cs="Times New Roman"/>
                <w:color w:val="000000"/>
                <w:sz w:val="22"/>
                <w:lang w:val="es-CO" w:eastAsia="es-CO"/>
              </w:rPr>
              <w:t>Dentro de otras labores misionales llevadas a cabo a lo largo de su carrera, se puede destacar el haber sido representante por Colombia en calidad de presidente desde 1990 a 1996, en la reunión intergubernamental del arroz en la FAO y consejero del programa nacional de ciencia y tecnología en COLCIENCIAS, así como, panelista en diversos eventos internacionales agrícolas en México, Brasil, Italia, España y Tailandia.</w:t>
            </w:r>
          </w:p>
          <w:p w:rsidR="00745864" w:rsidRPr="00745864" w:rsidRDefault="00745864" w:rsidP="00745864">
            <w:pPr>
              <w:jc w:val="left"/>
              <w:rPr>
                <w:rFonts w:eastAsia="Times New Roman" w:cs="Times New Roman"/>
                <w:sz w:val="22"/>
                <w:lang w:val="es-CO" w:eastAsia="es-CO"/>
              </w:rPr>
            </w:pPr>
          </w:p>
          <w:p w:rsidR="00745864" w:rsidRPr="00745864" w:rsidRDefault="00745864" w:rsidP="00745864">
            <w:pPr>
              <w:rPr>
                <w:rFonts w:eastAsia="Times New Roman" w:cs="Times New Roman"/>
                <w:sz w:val="22"/>
                <w:lang w:val="es-CO" w:eastAsia="es-CO"/>
              </w:rPr>
            </w:pPr>
            <w:r w:rsidRPr="00745864">
              <w:rPr>
                <w:rFonts w:eastAsia="Times New Roman" w:cs="Times New Roman"/>
                <w:color w:val="000000"/>
                <w:sz w:val="22"/>
                <w:lang w:val="es-CO" w:eastAsia="es-CO"/>
              </w:rPr>
              <w:t>Como gerente general de FEDEARROZ, ha sido integrante de la junta directiva de la Sociedad de Agricultores de Colombia SAC, la más antigua organización gremial en Colombia, de gran importancia como entidad consultiva a nivel oficial, ocupando en varias ocasiones su presidencia, así como de la junta directiva de la Bolsa Nacional Agropecuaria hoy Bolsa Mercantil de Colombia.</w:t>
            </w:r>
          </w:p>
          <w:p w:rsidR="00745864" w:rsidRPr="00745864" w:rsidRDefault="00745864" w:rsidP="00745864">
            <w:pPr>
              <w:jc w:val="left"/>
              <w:rPr>
                <w:rFonts w:eastAsia="Times New Roman" w:cs="Times New Roman"/>
                <w:sz w:val="22"/>
                <w:lang w:val="es-CO" w:eastAsia="es-CO"/>
              </w:rPr>
            </w:pPr>
          </w:p>
          <w:p w:rsidR="00745864" w:rsidRPr="00745864" w:rsidRDefault="00745864" w:rsidP="00745864">
            <w:pPr>
              <w:rPr>
                <w:rFonts w:eastAsia="Times New Roman" w:cs="Times New Roman"/>
                <w:sz w:val="22"/>
                <w:lang w:val="es-CO" w:eastAsia="es-CO"/>
              </w:rPr>
            </w:pPr>
            <w:r w:rsidRPr="00745864">
              <w:rPr>
                <w:rFonts w:eastAsia="Times New Roman" w:cs="Times New Roman"/>
                <w:color w:val="000000"/>
                <w:sz w:val="22"/>
                <w:lang w:val="es-CO" w:eastAsia="es-CO"/>
              </w:rPr>
              <w:t>En su carrera profesional ha recibido numerosos reconocimientos por parte de autoridades municipales, departamentales, del congreso de la república y la presidencia de la república, así como, asociaciones de ingenieros y universidades.</w:t>
            </w:r>
          </w:p>
          <w:p w:rsidR="00745864" w:rsidRPr="00745864" w:rsidRDefault="00745864" w:rsidP="00745864">
            <w:pPr>
              <w:rPr>
                <w:rFonts w:eastAsia="Times New Roman" w:cs="Times New Roman"/>
                <w:sz w:val="22"/>
                <w:lang w:val="es-CO" w:eastAsia="es-CO"/>
              </w:rPr>
            </w:pPr>
            <w:r w:rsidRPr="00745864">
              <w:rPr>
                <w:rFonts w:eastAsia="Times New Roman" w:cs="Times New Roman"/>
                <w:color w:val="000000"/>
                <w:sz w:val="22"/>
                <w:lang w:val="es-CO" w:eastAsia="es-CO"/>
              </w:rPr>
              <w:t>Una de sus grandes preocupaciones, al interior de Fedearroz y como administrador del Fondo Nacional del Arroz, es la permanente generación de tecnología. Por ello ha impulsado un programa de mejoramiento genético y de agronomía para atender las necesidades de los agricultores en cada una de las regiones arroceras del país, producto de lo cual se ha obtenido entre muchos otros resultados, la generación de 25 variedades de arroz en los últimos 20 años.</w:t>
            </w:r>
          </w:p>
          <w:p w:rsidR="00745864" w:rsidRPr="00745864" w:rsidRDefault="00745864" w:rsidP="00745864">
            <w:pPr>
              <w:jc w:val="left"/>
              <w:rPr>
                <w:rFonts w:eastAsia="Times New Roman" w:cs="Times New Roman"/>
                <w:sz w:val="22"/>
                <w:lang w:val="es-CO" w:eastAsia="es-CO"/>
              </w:rPr>
            </w:pPr>
          </w:p>
          <w:p w:rsidR="00745864" w:rsidRPr="00745864" w:rsidRDefault="00745864" w:rsidP="00745864">
            <w:pPr>
              <w:rPr>
                <w:rFonts w:eastAsia="Times New Roman" w:cs="Times New Roman"/>
                <w:sz w:val="22"/>
                <w:lang w:val="es-CO" w:eastAsia="es-CO"/>
              </w:rPr>
            </w:pPr>
            <w:r w:rsidRPr="00745864">
              <w:rPr>
                <w:rFonts w:eastAsia="Times New Roman" w:cs="Times New Roman"/>
                <w:color w:val="000000"/>
                <w:sz w:val="22"/>
                <w:lang w:val="es-CO" w:eastAsia="es-CO"/>
              </w:rPr>
              <w:t>Ante los retos impuestos por la apertura de los mercados, los tratados de libre comercio y el cambio climático, promovío el diseño y puesta en marcha del programa de adopción masiva de tecnología AMTEC, modelo de producción tecnológica que luego de 6 años ha mostrado una importante reducción en los costos de producción del cultivo del arroz en el país, así como, incrementos notables de la productividad con lo que se está avanzando con la competitividad del sector arrocero Colombiano.</w:t>
            </w:r>
          </w:p>
          <w:p w:rsidR="00745864" w:rsidRPr="00745864" w:rsidRDefault="00745864" w:rsidP="00745864">
            <w:pPr>
              <w:jc w:val="left"/>
              <w:rPr>
                <w:rFonts w:eastAsia="Times New Roman" w:cs="Times New Roman"/>
                <w:sz w:val="22"/>
                <w:lang w:val="es-CO" w:eastAsia="es-CO"/>
              </w:rPr>
            </w:pPr>
          </w:p>
          <w:p w:rsidR="001C1F66" w:rsidRPr="00745864" w:rsidRDefault="00745864" w:rsidP="0015047C">
            <w:pPr>
              <w:rPr>
                <w:rFonts w:eastAsia="Times New Roman" w:cs="Times New Roman"/>
                <w:sz w:val="22"/>
                <w:lang w:val="es-CO" w:eastAsia="es-CO"/>
              </w:rPr>
            </w:pPr>
            <w:r>
              <w:rPr>
                <w:rFonts w:eastAsia="Times New Roman" w:cs="Times New Roman"/>
                <w:color w:val="000000"/>
                <w:sz w:val="22"/>
                <w:lang w:val="es-CO" w:eastAsia="es-CO"/>
              </w:rPr>
              <w:t>L</w:t>
            </w:r>
            <w:r w:rsidRPr="00745864">
              <w:rPr>
                <w:rFonts w:eastAsia="Times New Roman" w:cs="Times New Roman"/>
                <w:color w:val="000000"/>
                <w:sz w:val="22"/>
                <w:lang w:val="es-CO" w:eastAsia="es-CO"/>
              </w:rPr>
              <w:t>os buenos resultados del AMTEC, han tenido además un gran impacto por su contribución a la preservación de los recursos naturales, lo que ha hecho que hoy tenga un gran reconocimiento en el sector gubernamental, otros gremios y organismos, como el que fue otorgado en el año 2016 por la</w:t>
            </w:r>
            <w:r>
              <w:rPr>
                <w:rFonts w:eastAsia="Times New Roman" w:cs="Times New Roman"/>
                <w:color w:val="000000"/>
                <w:sz w:val="22"/>
                <w:lang w:val="es-CO" w:eastAsia="es-CO"/>
              </w:rPr>
              <w:t xml:space="preserve"> fundación Aurelio Llano Posada.</w:t>
            </w:r>
          </w:p>
          <w:p w:rsidR="001C1F66" w:rsidRPr="000B7E0D" w:rsidRDefault="001C1F66" w:rsidP="0015047C">
            <w:pPr>
              <w:rPr>
                <w:rFonts w:cs="Times New Roman"/>
                <w:color w:val="000000"/>
                <w:szCs w:val="20"/>
              </w:rPr>
            </w:pPr>
          </w:p>
        </w:tc>
      </w:tr>
    </w:tbl>
    <w:p w:rsidR="00C93CF3" w:rsidRPr="000B7E0D" w:rsidRDefault="00C93CF3" w:rsidP="001C1F66">
      <w:pPr>
        <w:rPr>
          <w:rFonts w:cs="Times New Roman"/>
        </w:rPr>
      </w:pPr>
    </w:p>
    <w:p w:rsidR="0038588C" w:rsidRDefault="0038588C" w:rsidP="00C93CF3">
      <w:pPr>
        <w:rPr>
          <w:rFonts w:cs="Times New Roman"/>
        </w:rPr>
      </w:pPr>
    </w:p>
    <w:p w:rsidR="00745864" w:rsidRPr="00745864" w:rsidRDefault="00745864" w:rsidP="00745864">
      <w:pPr>
        <w:jc w:val="left"/>
        <w:rPr>
          <w:rFonts w:eastAsia="Times New Roman" w:cs="Times New Roman"/>
          <w:sz w:val="24"/>
          <w:szCs w:val="24"/>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8630"/>
      </w:tblGrid>
      <w:tr w:rsidR="00745864" w:rsidRPr="00745864" w:rsidTr="0074586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Elizabeth Consuelo Heros Aguilar,</w:t>
            </w:r>
            <w:r w:rsidRPr="00745864">
              <w:rPr>
                <w:rFonts w:ascii="Times" w:eastAsia="Times New Roman" w:hAnsi="Times" w:cs="Times"/>
                <w:color w:val="000000"/>
                <w:sz w:val="22"/>
                <w:lang w:val="es-CO" w:eastAsia="es-CO"/>
              </w:rPr>
              <w:t xml:space="preserve"> Ingeniera Agrónoma, con especialidad en Mejoramiento Genético de Plantas y Agricultura Sustentable. Ejerzo actividades de docencia en la Universidad Nacional Agraria La Molina- UNALM, en la Facultad de Agronomía y como Investigadora en el Programa de Proyección Social en Cereales y Granos Nativos, UNALM.</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Proyectos de investigación en el cultivo de arroz desde el año 2007</w:t>
            </w:r>
            <w:r w:rsidRPr="00745864">
              <w:rPr>
                <w:rFonts w:ascii="Times" w:eastAsia="Times New Roman" w:hAnsi="Times" w:cs="Times"/>
                <w:color w:val="000000"/>
                <w:sz w:val="22"/>
                <w:lang w:val="es-CO" w:eastAsia="es-CO"/>
              </w:rPr>
              <w:t>, relacionados a:</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w:t>
            </w:r>
            <w:r w:rsidRPr="00745864">
              <w:rPr>
                <w:rFonts w:ascii="Times" w:eastAsia="Times New Roman" w:hAnsi="Times" w:cs="Times"/>
                <w:color w:val="000000"/>
                <w:sz w:val="22"/>
                <w:lang w:val="es-CO" w:eastAsia="es-CO"/>
              </w:rPr>
              <w:tab/>
              <w:t>Mejoramiento genético del cultivo de arroz, usando la técnica de mutaciones en cultivares comerciales de país (Amazonas, Capirona).</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w:t>
            </w:r>
            <w:r w:rsidRPr="00745864">
              <w:rPr>
                <w:rFonts w:ascii="Times" w:eastAsia="Times New Roman" w:hAnsi="Times" w:cs="Times"/>
                <w:color w:val="000000"/>
                <w:sz w:val="22"/>
                <w:lang w:val="es-CO" w:eastAsia="es-CO"/>
              </w:rPr>
              <w:tab/>
              <w:t xml:space="preserve"> “Utilización de fuentes genéticas tolerantes al estrés hídrico para el desarrollo de material aeróbico, adaptado a las condiciones de selva alta para mitigar los efectos de escasez de agua derivados por el impacto de cambio climático”. </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w:t>
            </w:r>
            <w:r w:rsidRPr="00745864">
              <w:rPr>
                <w:rFonts w:ascii="Times" w:eastAsia="Times New Roman" w:hAnsi="Times" w:cs="Times"/>
                <w:color w:val="000000"/>
                <w:sz w:val="22"/>
                <w:shd w:val="clear" w:color="auto" w:fill="FFFFFF"/>
                <w:lang w:val="es-CO" w:eastAsia="es-CO"/>
              </w:rPr>
              <w:t>En desarrollo material genético que combina alto potencial de rendimiento con tolerancia a riegos de inundación intermitente. A la Fecha.</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shd w:val="clear" w:color="auto" w:fill="FFFFFF"/>
                <w:lang w:val="es-CO" w:eastAsia="es-CO"/>
              </w:rPr>
              <w:t>.    </w:t>
            </w:r>
            <w:r w:rsidRPr="00745864">
              <w:rPr>
                <w:rFonts w:ascii="Times" w:eastAsia="Times New Roman" w:hAnsi="Times" w:cs="Times"/>
                <w:b/>
                <w:bCs/>
                <w:color w:val="000000"/>
                <w:sz w:val="22"/>
                <w:lang w:val="es-CO" w:eastAsia="es-CO"/>
              </w:rPr>
              <w:t>“</w:t>
            </w:r>
            <w:r w:rsidRPr="00745864">
              <w:rPr>
                <w:rFonts w:ascii="Times" w:eastAsia="Times New Roman" w:hAnsi="Times" w:cs="Times"/>
                <w:color w:val="000000"/>
                <w:sz w:val="22"/>
                <w:lang w:val="es-CO" w:eastAsia="es-CO"/>
              </w:rPr>
              <w:t>Ahorro de agua y eficiencia de uso de nitrógeno en producción de arroz (</w:t>
            </w:r>
            <w:r w:rsidRPr="00745864">
              <w:rPr>
                <w:rFonts w:ascii="Times" w:eastAsia="Times New Roman" w:hAnsi="Times" w:cs="Times"/>
                <w:i/>
                <w:iCs/>
                <w:color w:val="000000"/>
                <w:sz w:val="22"/>
                <w:lang w:val="es-CO" w:eastAsia="es-CO"/>
              </w:rPr>
              <w:t>Oryza sativa</w:t>
            </w:r>
            <w:r w:rsidRPr="00745864">
              <w:rPr>
                <w:rFonts w:ascii="Times" w:eastAsia="Times New Roman" w:hAnsi="Times" w:cs="Times"/>
                <w:color w:val="000000"/>
                <w:sz w:val="22"/>
                <w:lang w:val="es-CO" w:eastAsia="es-CO"/>
              </w:rPr>
              <w:t xml:space="preserve"> L.), para mitigar los efectos del cambio climático”. Vigente hasta diciembre del 2018.</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Actividades de transferencia de tecnología</w:t>
            </w:r>
            <w:r w:rsidRPr="00745864">
              <w:rPr>
                <w:rFonts w:ascii="Times" w:eastAsia="Times New Roman" w:hAnsi="Times" w:cs="Times"/>
                <w:color w:val="000000"/>
                <w:sz w:val="22"/>
                <w:lang w:val="es-CO" w:eastAsia="es-CO"/>
              </w:rPr>
              <w:t xml:space="preserve"> a agricultores de los principales valles arroceros ubicados en Piura, Lambayeque, La Libertad y Arequipa</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Publicaciones</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Utilización de índices de selección en la identificación de genotipos de arroz (</w:t>
            </w:r>
            <w:r w:rsidRPr="00745864">
              <w:rPr>
                <w:rFonts w:ascii="Times" w:eastAsia="Times New Roman" w:hAnsi="Times" w:cs="Times"/>
                <w:i/>
                <w:iCs/>
                <w:color w:val="000000"/>
                <w:sz w:val="22"/>
                <w:lang w:val="es-CO" w:eastAsia="es-CO"/>
              </w:rPr>
              <w:t>Oryza sativa</w:t>
            </w:r>
            <w:r w:rsidRPr="00745864">
              <w:rPr>
                <w:rFonts w:ascii="Times" w:eastAsia="Times New Roman" w:hAnsi="Times" w:cs="Times"/>
                <w:color w:val="000000"/>
                <w:sz w:val="22"/>
                <w:lang w:val="es-CO" w:eastAsia="es-CO"/>
              </w:rPr>
              <w:t xml:space="preserve"> L.) Tolerantes a sequía”. Publicado en: Producción agropecuaria y desarrollo sostenible ISSN 2305-1744. PADyS, Abril 2014. Vol. 2. pp. 11-31.</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w:t>
            </w:r>
            <w:r w:rsidRPr="00745864">
              <w:rPr>
                <w:rFonts w:ascii="Times" w:eastAsia="Times New Roman" w:hAnsi="Times" w:cs="Times"/>
                <w:color w:val="000000"/>
                <w:sz w:val="22"/>
                <w:lang w:val="es-CO" w:eastAsia="es-CO"/>
              </w:rPr>
              <w:tab/>
              <w:t>“Identificación de mutaciones precoces con aplicación de rayos gamma, en el cultivar de arroz (</w:t>
            </w:r>
            <w:r w:rsidRPr="00745864">
              <w:rPr>
                <w:rFonts w:ascii="Times" w:eastAsia="Times New Roman" w:hAnsi="Times" w:cs="Times"/>
                <w:i/>
                <w:iCs/>
                <w:color w:val="000000"/>
                <w:sz w:val="22"/>
                <w:lang w:val="es-CO" w:eastAsia="es-CO"/>
              </w:rPr>
              <w:t>Oryza sativa</w:t>
            </w:r>
            <w:r w:rsidRPr="00745864">
              <w:rPr>
                <w:rFonts w:ascii="Times" w:eastAsia="Times New Roman" w:hAnsi="Times" w:cs="Times"/>
                <w:color w:val="000000"/>
                <w:sz w:val="22"/>
                <w:lang w:val="es-CO" w:eastAsia="es-CO"/>
              </w:rPr>
              <w:t xml:space="preserve"> L.) Capirona”. Para publicación en revista Anales Científicos de la UNALM- 2012.</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“Mejoramiento Genético de arroz (</w:t>
            </w:r>
            <w:r w:rsidRPr="00745864">
              <w:rPr>
                <w:rFonts w:ascii="Times" w:eastAsia="Times New Roman" w:hAnsi="Times" w:cs="Times"/>
                <w:i/>
                <w:iCs/>
                <w:color w:val="000000"/>
                <w:sz w:val="22"/>
                <w:lang w:val="es-CO" w:eastAsia="es-CO"/>
              </w:rPr>
              <w:t>Oryza sativa L</w:t>
            </w:r>
            <w:r w:rsidRPr="00745864">
              <w:rPr>
                <w:rFonts w:ascii="Times" w:eastAsia="Times New Roman" w:hAnsi="Times" w:cs="Times"/>
                <w:color w:val="000000"/>
                <w:sz w:val="22"/>
                <w:lang w:val="es-CO" w:eastAsia="es-CO"/>
              </w:rPr>
              <w:t>.), con aplicación de rayos gamma, en el cultivar Amazonas”. Para publicación en revista Anales Científicos de la UNALM- 2010.</w:t>
            </w:r>
          </w:p>
          <w:p w:rsidR="00745864" w:rsidRPr="00745864" w:rsidRDefault="00745864" w:rsidP="00745864">
            <w:pPr>
              <w:ind w:left="360"/>
              <w:rPr>
                <w:rFonts w:eastAsia="Times New Roman" w:cs="Times New Roman"/>
                <w:sz w:val="24"/>
                <w:szCs w:val="24"/>
                <w:lang w:val="es-CO" w:eastAsia="es-CO"/>
              </w:rPr>
            </w:pPr>
            <w:r w:rsidRPr="00745864">
              <w:rPr>
                <w:rFonts w:ascii="Times" w:eastAsia="Times New Roman" w:hAnsi="Times" w:cs="Times"/>
                <w:color w:val="000000"/>
                <w:sz w:val="22"/>
                <w:lang w:val="es-CO" w:eastAsia="es-CO"/>
              </w:rPr>
              <w:t>·  </w:t>
            </w:r>
            <w:r w:rsidRPr="00745864">
              <w:rPr>
                <w:rFonts w:ascii="Times" w:eastAsia="Times New Roman" w:hAnsi="Times" w:cs="Times"/>
                <w:color w:val="000000"/>
                <w:sz w:val="22"/>
                <w:lang w:val="es-CO" w:eastAsia="es-CO"/>
              </w:rPr>
              <w:tab/>
              <w:t>“Recomendaciones en el manejo del cultivo de arroz. Reconocimiento de las fases de crecimiento”. Publicado en Revista Técnica Agropecuaria de AGROBANCO. Setiembre del 2012.</w:t>
            </w:r>
          </w:p>
        </w:tc>
      </w:tr>
    </w:tbl>
    <w:p w:rsidR="00745864" w:rsidRDefault="00745864" w:rsidP="00C93CF3">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Pr="00745864" w:rsidRDefault="00745864" w:rsidP="00745864">
      <w:pPr>
        <w:rPr>
          <w:rFonts w:cs="Times New Roman"/>
        </w:rPr>
      </w:pPr>
    </w:p>
    <w:p w:rsidR="00745864" w:rsidRDefault="00745864" w:rsidP="00745864">
      <w:pPr>
        <w:rPr>
          <w:rFonts w:cs="Times New Roman"/>
        </w:rPr>
      </w:pPr>
    </w:p>
    <w:p w:rsidR="00745864" w:rsidRDefault="00745864" w:rsidP="00745864">
      <w:pPr>
        <w:tabs>
          <w:tab w:val="left" w:pos="2469"/>
        </w:tabs>
        <w:rPr>
          <w:rFonts w:cs="Times New Roman"/>
        </w:rPr>
      </w:pPr>
      <w:r>
        <w:rPr>
          <w:rFonts w:cs="Times New Roman"/>
        </w:rPr>
        <w:tab/>
      </w: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Default="00745864" w:rsidP="00745864">
      <w:pPr>
        <w:tabs>
          <w:tab w:val="left" w:pos="2469"/>
        </w:tabs>
        <w:rPr>
          <w:rFonts w:cs="Times New Roman"/>
        </w:rPr>
      </w:pPr>
    </w:p>
    <w:p w:rsidR="00745864" w:rsidRPr="00745864" w:rsidRDefault="00745864" w:rsidP="00745864">
      <w:pPr>
        <w:jc w:val="left"/>
        <w:rPr>
          <w:rFonts w:eastAsia="Times New Roman" w:cs="Times New Roman"/>
          <w:sz w:val="24"/>
          <w:szCs w:val="24"/>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745864" w:rsidRPr="00745864" w:rsidTr="0074586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45864" w:rsidRPr="00745864" w:rsidRDefault="00745864" w:rsidP="00745864">
            <w:pPr>
              <w:ind w:left="45"/>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OSCAR MARIO PAREDES CARCAMO,</w:t>
            </w:r>
            <w:r w:rsidRPr="00745864">
              <w:rPr>
                <w:rFonts w:ascii="Times" w:eastAsia="Times New Roman" w:hAnsi="Times" w:cs="Times"/>
                <w:color w:val="000000"/>
                <w:sz w:val="22"/>
                <w:lang w:val="es-CO" w:eastAsia="es-CO"/>
              </w:rPr>
              <w:t xml:space="preserve"> Instituto de Investigaciones Agropecuarias (INIA Chile); Investigador: Mejoramiento, Agronomía  y Biotecnología.</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Grado Académicos</w:t>
            </w:r>
          </w:p>
          <w:p w:rsidR="00745864" w:rsidRPr="00745864" w:rsidRDefault="00745864" w:rsidP="00745864">
            <w:pPr>
              <w:ind w:left="45"/>
              <w:rPr>
                <w:rFonts w:eastAsia="Times New Roman" w:cs="Times New Roman"/>
                <w:sz w:val="24"/>
                <w:szCs w:val="24"/>
                <w:lang w:val="es-CO" w:eastAsia="es-CO"/>
              </w:rPr>
            </w:pPr>
            <w:r w:rsidRPr="00745864">
              <w:rPr>
                <w:rFonts w:ascii="Times" w:eastAsia="Times New Roman" w:hAnsi="Times" w:cs="Times"/>
                <w:color w:val="000000"/>
                <w:sz w:val="22"/>
                <w:lang w:val="es-CO" w:eastAsia="es-CO"/>
              </w:rPr>
              <w:t>·Doctor of Philosophy (Ph.D), University of California, Davis, USA (Mención Genética). 1993.</w:t>
            </w:r>
          </w:p>
          <w:p w:rsidR="00745864" w:rsidRPr="00745864" w:rsidRDefault="00745864" w:rsidP="00745864">
            <w:pPr>
              <w:ind w:left="45"/>
              <w:rPr>
                <w:rFonts w:eastAsia="Times New Roman" w:cs="Times New Roman"/>
                <w:sz w:val="24"/>
                <w:szCs w:val="24"/>
                <w:lang w:val="es-CO" w:eastAsia="es-CO"/>
              </w:rPr>
            </w:pPr>
            <w:r w:rsidRPr="00745864">
              <w:rPr>
                <w:rFonts w:ascii="Times" w:eastAsia="Times New Roman" w:hAnsi="Times" w:cs="Times"/>
                <w:color w:val="000000"/>
                <w:sz w:val="22"/>
                <w:lang w:val="es-CO" w:eastAsia="es-CO"/>
              </w:rPr>
              <w:t>·Master of Science (M.Sc). University of California, Davis, USA. (Mención Genética). 1992.</w:t>
            </w:r>
          </w:p>
          <w:p w:rsidR="00745864" w:rsidRPr="00745864" w:rsidRDefault="00745864" w:rsidP="00745864">
            <w:pPr>
              <w:ind w:left="45"/>
              <w:rPr>
                <w:rFonts w:eastAsia="Times New Roman" w:cs="Times New Roman"/>
                <w:sz w:val="24"/>
                <w:szCs w:val="24"/>
                <w:lang w:val="es-CO" w:eastAsia="es-CO"/>
              </w:rPr>
            </w:pPr>
            <w:r w:rsidRPr="00745864">
              <w:rPr>
                <w:rFonts w:ascii="Times" w:eastAsia="Times New Roman" w:hAnsi="Times" w:cs="Times"/>
                <w:color w:val="000000"/>
                <w:sz w:val="22"/>
                <w:lang w:val="es-CO" w:eastAsia="es-CO"/>
              </w:rPr>
              <w:t>·Master of Science (M.Sc). Michigan State University, Michigan, USA. (Mención Mejoramiento  de plantas). 1986.</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·Ingeniero Agrónomo. Pontificia Universidad Católica de Chile (PUC), Santiago, Chile. 1971-1975.</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 xml:space="preserve">PROYECTOS DE INVESTIGACIÓN 1997-2017: 47 </w:t>
            </w:r>
            <w:r w:rsidRPr="00745864">
              <w:rPr>
                <w:rFonts w:ascii="Times" w:eastAsia="Times New Roman" w:hAnsi="Times" w:cs="Times"/>
                <w:color w:val="000000"/>
                <w:sz w:val="22"/>
                <w:lang w:val="es-CO" w:eastAsia="es-CO"/>
              </w:rPr>
              <w:t>(FONDECYT,  FONDEF, FDI, FONTAGRO, FIA, INNOVA BÍO BÍO, INNOVA CHILE, PRODECOOP, CYTED).</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Participación en Proyectos concursables en ARROZ adjudicados: 2011—a la fecha</w:t>
            </w:r>
          </w:p>
          <w:p w:rsidR="00745864" w:rsidRPr="00745864" w:rsidRDefault="00745864" w:rsidP="00405213">
            <w:pPr>
              <w:numPr>
                <w:ilvl w:val="0"/>
                <w:numId w:val="2"/>
              </w:numPr>
              <w:ind w:left="405"/>
              <w:textAlignment w:val="baseline"/>
              <w:rPr>
                <w:rFonts w:eastAsia="Times New Roman" w:cs="Times New Roman"/>
                <w:color w:val="000000"/>
                <w:sz w:val="22"/>
                <w:lang w:val="es-CO" w:eastAsia="es-CO"/>
              </w:rPr>
            </w:pPr>
            <w:r w:rsidRPr="00745864">
              <w:rPr>
                <w:rFonts w:ascii="Times" w:eastAsia="Times New Roman" w:hAnsi="Times" w:cs="Times"/>
                <w:color w:val="000000"/>
                <w:sz w:val="22"/>
                <w:lang w:val="en-US" w:eastAsia="es-CO"/>
              </w:rPr>
              <w:t xml:space="preserve">Characterization of tolerant and susceptible rice genotypes to low temperatures at the vegetative and reproductive stage: An essential and complementary step for marker assisted selection (MAS) in a rice breeding program. </w:t>
            </w:r>
            <w:r w:rsidRPr="00745864">
              <w:rPr>
                <w:rFonts w:ascii="Times" w:eastAsia="Times New Roman" w:hAnsi="Times" w:cs="Times"/>
                <w:color w:val="000000"/>
                <w:sz w:val="22"/>
                <w:lang w:val="es-CO" w:eastAsia="es-CO"/>
              </w:rPr>
              <w:t xml:space="preserve">Viviana Becerra; </w:t>
            </w:r>
            <w:r w:rsidRPr="00745864">
              <w:rPr>
                <w:rFonts w:ascii="Times" w:eastAsia="Times New Roman" w:hAnsi="Times" w:cs="Times"/>
                <w:b/>
                <w:bCs/>
                <w:color w:val="000000"/>
                <w:sz w:val="22"/>
                <w:lang w:val="es-CO" w:eastAsia="es-CO"/>
              </w:rPr>
              <w:t>Mario Paredes</w:t>
            </w:r>
            <w:r w:rsidRPr="00745864">
              <w:rPr>
                <w:rFonts w:ascii="Times" w:eastAsia="Times New Roman" w:hAnsi="Times" w:cs="Times"/>
                <w:color w:val="000000"/>
                <w:sz w:val="22"/>
                <w:lang w:val="es-CO" w:eastAsia="es-CO"/>
              </w:rPr>
              <w:t>; Gabriel Donoso.</w:t>
            </w:r>
            <w:r w:rsidRPr="00745864">
              <w:rPr>
                <w:rFonts w:ascii="Times" w:eastAsia="Times New Roman" w:hAnsi="Times" w:cs="Times"/>
                <w:b/>
                <w:bCs/>
                <w:color w:val="000000"/>
                <w:sz w:val="22"/>
                <w:lang w:val="es-CO" w:eastAsia="es-CO"/>
              </w:rPr>
              <w:t>Financiamiento: FONDECYT REGULAR</w:t>
            </w:r>
            <w:r w:rsidRPr="00745864">
              <w:rPr>
                <w:rFonts w:ascii="Times" w:eastAsia="Times New Roman" w:hAnsi="Times" w:cs="Times"/>
                <w:color w:val="000000"/>
                <w:sz w:val="22"/>
                <w:lang w:val="es-CO" w:eastAsia="es-CO"/>
              </w:rPr>
              <w:t xml:space="preserve"> </w:t>
            </w:r>
            <w:r w:rsidRPr="00745864">
              <w:rPr>
                <w:rFonts w:ascii="Times" w:eastAsia="Times New Roman" w:hAnsi="Times" w:cs="Times"/>
                <w:b/>
                <w:bCs/>
                <w:color w:val="000000"/>
                <w:sz w:val="22"/>
                <w:lang w:val="es-CO" w:eastAsia="es-CO"/>
              </w:rPr>
              <w:t>Nº 1110405. 2011-2013.</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2.  Nuevas estrategias en la generación de variedades de arroz tolerantes a frío y resistentes a herbicidas. </w:t>
            </w:r>
            <w:r w:rsidRPr="00745864">
              <w:rPr>
                <w:rFonts w:ascii="Times" w:eastAsia="Times New Roman" w:hAnsi="Times" w:cs="Times"/>
                <w:b/>
                <w:bCs/>
                <w:color w:val="000000"/>
                <w:sz w:val="22"/>
                <w:lang w:val="es-CO" w:eastAsia="es-CO"/>
              </w:rPr>
              <w:t>Mario Paredes</w:t>
            </w:r>
            <w:r w:rsidRPr="00745864">
              <w:rPr>
                <w:rFonts w:ascii="Times" w:eastAsia="Times New Roman" w:hAnsi="Times" w:cs="Times"/>
                <w:color w:val="000000"/>
                <w:sz w:val="22"/>
                <w:lang w:val="es-CO" w:eastAsia="es-CO"/>
              </w:rPr>
              <w:t xml:space="preserve">; Viviana Becerra; Gabriel Donoso; Javier Chilian; Fernando Garrido; Alvaro Vega; Haroldo Salvo; Carlos Fernández. </w:t>
            </w:r>
            <w:r w:rsidRPr="00745864">
              <w:rPr>
                <w:rFonts w:ascii="Times" w:eastAsia="Times New Roman" w:hAnsi="Times" w:cs="Times"/>
                <w:b/>
                <w:bCs/>
                <w:color w:val="000000"/>
                <w:sz w:val="22"/>
                <w:lang w:val="es-CO" w:eastAsia="es-CO"/>
              </w:rPr>
              <w:t>Financiamiento: FONDEF 1OI1183.</w:t>
            </w:r>
            <w:r w:rsidRPr="00745864">
              <w:rPr>
                <w:rFonts w:ascii="Times" w:eastAsia="Times New Roman" w:hAnsi="Times" w:cs="Times"/>
                <w:color w:val="000000"/>
                <w:sz w:val="22"/>
                <w:lang w:val="es-CO" w:eastAsia="es-CO"/>
              </w:rPr>
              <w:t xml:space="preserve"> </w:t>
            </w:r>
            <w:r w:rsidRPr="00745864">
              <w:rPr>
                <w:rFonts w:ascii="Times" w:eastAsia="Times New Roman" w:hAnsi="Times" w:cs="Times"/>
                <w:b/>
                <w:bCs/>
                <w:color w:val="000000"/>
                <w:sz w:val="22"/>
                <w:lang w:val="es-CO" w:eastAsia="es-CO"/>
              </w:rPr>
              <w:t xml:space="preserve">2010-2014. Co-Financiamiento. </w:t>
            </w:r>
            <w:r w:rsidRPr="00745864">
              <w:rPr>
                <w:rFonts w:ascii="Times" w:eastAsia="Times New Roman" w:hAnsi="Times" w:cs="Times"/>
                <w:color w:val="000000"/>
                <w:sz w:val="22"/>
                <w:lang w:val="es-CO" w:eastAsia="es-CO"/>
              </w:rPr>
              <w:t>Empresa</w:t>
            </w:r>
            <w:r w:rsidRPr="00745864">
              <w:rPr>
                <w:rFonts w:ascii="Times" w:eastAsia="Times New Roman" w:hAnsi="Times" w:cs="Times"/>
                <w:b/>
                <w:bCs/>
                <w:color w:val="000000"/>
                <w:sz w:val="22"/>
                <w:lang w:val="es-CO" w:eastAsia="es-CO"/>
              </w:rPr>
              <w:t xml:space="preserve"> </w:t>
            </w:r>
            <w:r w:rsidRPr="00745864">
              <w:rPr>
                <w:rFonts w:ascii="Times" w:eastAsia="Times New Roman" w:hAnsi="Times" w:cs="Times"/>
                <w:color w:val="000000"/>
                <w:sz w:val="22"/>
                <w:lang w:val="es-CO" w:eastAsia="es-CO"/>
              </w:rPr>
              <w:t>Tucapel, S.A., Empresa  Carozzi, S.A., Basf-Chile, INIA. Fase I.</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3.  Fortalecimiento Colaboración INIA-EMBRAPA. </w:t>
            </w:r>
            <w:r w:rsidRPr="00745864">
              <w:rPr>
                <w:rFonts w:ascii="Times" w:eastAsia="Times New Roman" w:hAnsi="Times" w:cs="Times"/>
                <w:b/>
                <w:bCs/>
                <w:color w:val="000000"/>
                <w:sz w:val="22"/>
                <w:lang w:val="es-CO" w:eastAsia="es-CO"/>
              </w:rPr>
              <w:t xml:space="preserve">Mario Paredes. </w:t>
            </w:r>
            <w:r w:rsidRPr="00745864">
              <w:rPr>
                <w:rFonts w:ascii="Times" w:eastAsia="Times New Roman" w:hAnsi="Times" w:cs="Times"/>
                <w:color w:val="000000"/>
                <w:sz w:val="22"/>
                <w:lang w:val="es-CO" w:eastAsia="es-CO"/>
              </w:rPr>
              <w:t>2012. Concurso Fortalecimiento de Redes Internacionales. CONICYT.</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4.  Nuevas estrategias en la generación de variedades de arroz tolerantes a frío y resistentes a herbicidas. Fase II. </w:t>
            </w:r>
            <w:r w:rsidRPr="00745864">
              <w:rPr>
                <w:rFonts w:ascii="Times" w:eastAsia="Times New Roman" w:hAnsi="Times" w:cs="Times"/>
                <w:b/>
                <w:bCs/>
                <w:color w:val="000000"/>
                <w:sz w:val="22"/>
                <w:lang w:val="es-CO" w:eastAsia="es-CO"/>
              </w:rPr>
              <w:t>Mario Paredes</w:t>
            </w:r>
            <w:r w:rsidRPr="00745864">
              <w:rPr>
                <w:rFonts w:ascii="Times" w:eastAsia="Times New Roman" w:hAnsi="Times" w:cs="Times"/>
                <w:color w:val="000000"/>
                <w:sz w:val="22"/>
                <w:lang w:val="es-CO" w:eastAsia="es-CO"/>
              </w:rPr>
              <w:t>; Viviana Becerra; Gabriel Donoso; Juan Hirzel; Hamil Uribe; Alvaro Vega. Co-Financiamiento.</w:t>
            </w:r>
            <w:r w:rsidRPr="00745864">
              <w:rPr>
                <w:rFonts w:ascii="Times" w:eastAsia="Times New Roman" w:hAnsi="Times" w:cs="Times"/>
                <w:b/>
                <w:bCs/>
                <w:color w:val="000000"/>
                <w:sz w:val="22"/>
                <w:lang w:val="es-CO" w:eastAsia="es-CO"/>
              </w:rPr>
              <w:t xml:space="preserve"> </w:t>
            </w:r>
            <w:r w:rsidRPr="00745864">
              <w:rPr>
                <w:rFonts w:ascii="Times" w:eastAsia="Times New Roman" w:hAnsi="Times" w:cs="Times"/>
                <w:color w:val="000000"/>
                <w:sz w:val="22"/>
                <w:lang w:val="es-CO" w:eastAsia="es-CO"/>
              </w:rPr>
              <w:t>Empresa</w:t>
            </w:r>
            <w:r w:rsidRPr="00745864">
              <w:rPr>
                <w:rFonts w:ascii="Times" w:eastAsia="Times New Roman" w:hAnsi="Times" w:cs="Times"/>
                <w:b/>
                <w:bCs/>
                <w:color w:val="000000"/>
                <w:sz w:val="22"/>
                <w:lang w:val="es-CO" w:eastAsia="es-CO"/>
              </w:rPr>
              <w:t xml:space="preserve"> </w:t>
            </w:r>
            <w:r w:rsidRPr="00745864">
              <w:rPr>
                <w:rFonts w:ascii="Times" w:eastAsia="Times New Roman" w:hAnsi="Times" w:cs="Times"/>
                <w:color w:val="000000"/>
                <w:sz w:val="22"/>
                <w:lang w:val="es-CO" w:eastAsia="es-CO"/>
              </w:rPr>
              <w:t>Tucapel, S.A.; Empresa  Carozzi, S.A.; Basf-Chile, INIA.</w:t>
            </w:r>
            <w:r w:rsidRPr="00745864">
              <w:rPr>
                <w:rFonts w:ascii="Times" w:eastAsia="Times New Roman" w:hAnsi="Times" w:cs="Times"/>
                <w:b/>
                <w:bCs/>
                <w:color w:val="000000"/>
                <w:sz w:val="22"/>
                <w:lang w:val="es-CO" w:eastAsia="es-CO"/>
              </w:rPr>
              <w:t xml:space="preserve"> Financiamiento: FONDEF D10E1183. 2015-2018. Fase II.</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5. </w:t>
            </w:r>
            <w:r w:rsidRPr="00745864">
              <w:rPr>
                <w:rFonts w:ascii="Times" w:eastAsia="Times New Roman" w:hAnsi="Times" w:cs="Times"/>
                <w:color w:val="000000"/>
                <w:sz w:val="22"/>
                <w:lang w:val="es-CO" w:eastAsia="es-CO"/>
              </w:rPr>
              <w:tab/>
              <w:t xml:space="preserve">Evaluación de los niveles de arsénico en el arroz comercializado en chile: una estrategia para promover la inocuidad de los alimentos, salud de la población, sustentabilidad y competitividad de cultivo. </w:t>
            </w:r>
            <w:r w:rsidRPr="00745864">
              <w:rPr>
                <w:rFonts w:ascii="Times" w:eastAsia="Times New Roman" w:hAnsi="Times" w:cs="Times"/>
                <w:b/>
                <w:bCs/>
                <w:color w:val="000000"/>
                <w:sz w:val="22"/>
                <w:lang w:val="es-CO" w:eastAsia="es-CO"/>
              </w:rPr>
              <w:t>Mario Paredes</w:t>
            </w:r>
            <w:r w:rsidRPr="00745864">
              <w:rPr>
                <w:rFonts w:ascii="Times" w:eastAsia="Times New Roman" w:hAnsi="Times" w:cs="Times"/>
                <w:color w:val="000000"/>
                <w:sz w:val="22"/>
                <w:lang w:val="es-CO" w:eastAsia="es-CO"/>
              </w:rPr>
              <w:t xml:space="preserve">; Viviana Becerra; Gabriel Donoso; Juan Hirzel (INIA); Jorge Yáñez (Universidad de Concepción). Asociados: Subsecretaría de Agricultura; Asociaciones Gremial de Arroceros (4). </w:t>
            </w:r>
            <w:r w:rsidRPr="00745864">
              <w:rPr>
                <w:rFonts w:ascii="Times" w:eastAsia="Times New Roman" w:hAnsi="Times" w:cs="Times"/>
                <w:b/>
                <w:bCs/>
                <w:color w:val="000000"/>
                <w:sz w:val="22"/>
                <w:lang w:val="es-CO" w:eastAsia="es-CO"/>
              </w:rPr>
              <w:t>Financiamiento: INNOVA Chile</w:t>
            </w:r>
            <w:r w:rsidRPr="00745864">
              <w:rPr>
                <w:rFonts w:ascii="Times" w:eastAsia="Times New Roman" w:hAnsi="Times" w:cs="Times"/>
                <w:color w:val="000000"/>
                <w:sz w:val="22"/>
                <w:lang w:val="es-CO" w:eastAsia="es-CO"/>
              </w:rPr>
              <w:t xml:space="preserve"> </w:t>
            </w:r>
            <w:r w:rsidRPr="00745864">
              <w:rPr>
                <w:rFonts w:ascii="Times" w:eastAsia="Times New Roman" w:hAnsi="Times" w:cs="Times"/>
                <w:b/>
                <w:bCs/>
                <w:color w:val="000000"/>
                <w:sz w:val="22"/>
                <w:lang w:val="es-CO" w:eastAsia="es-CO"/>
              </w:rPr>
              <w:t>15BP-45394. 2015-2017.</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6. </w:t>
            </w:r>
            <w:r w:rsidRPr="00745864">
              <w:rPr>
                <w:rFonts w:ascii="Times" w:eastAsia="Times New Roman" w:hAnsi="Times" w:cs="Times"/>
                <w:color w:val="000000"/>
                <w:sz w:val="22"/>
                <w:lang w:val="es-CO" w:eastAsia="es-CO"/>
              </w:rPr>
              <w:tab/>
              <w:t xml:space="preserve">Desarrollo de un sistema de riego eficiente y sustentable para el cultivo del arroz en Chile, una estrategia para disminuir la vulnerabilidad de este cultivo frente al cambio climático global. Gabriel Donoso; Viviana Becerra; </w:t>
            </w:r>
            <w:r w:rsidRPr="00745864">
              <w:rPr>
                <w:rFonts w:ascii="Times" w:eastAsia="Times New Roman" w:hAnsi="Times" w:cs="Times"/>
                <w:b/>
                <w:bCs/>
                <w:color w:val="000000"/>
                <w:sz w:val="22"/>
                <w:lang w:val="es-CO" w:eastAsia="es-CO"/>
              </w:rPr>
              <w:t>Mario Paredes</w:t>
            </w:r>
            <w:r w:rsidRPr="00745864">
              <w:rPr>
                <w:rFonts w:ascii="Times" w:eastAsia="Times New Roman" w:hAnsi="Times" w:cs="Times"/>
                <w:color w:val="000000"/>
                <w:sz w:val="22"/>
                <w:lang w:val="es-CO" w:eastAsia="es-CO"/>
              </w:rPr>
              <w:t xml:space="preserve">; Hamil Uribe; Lorenzo León (INIA). Asociados: Tucapel S.A.; Carozzi, S.A.; Asociación Gremial de Arroceros (5). </w:t>
            </w:r>
            <w:r w:rsidRPr="00745864">
              <w:rPr>
                <w:rFonts w:ascii="Times" w:eastAsia="Times New Roman" w:hAnsi="Times" w:cs="Times"/>
                <w:b/>
                <w:bCs/>
                <w:color w:val="000000"/>
                <w:sz w:val="22"/>
                <w:lang w:val="es-CO" w:eastAsia="es-CO"/>
              </w:rPr>
              <w:t>Financiamiento: FIA PYT-2017-0190. 2017-2020.</w:t>
            </w:r>
          </w:p>
          <w:p w:rsidR="00745864" w:rsidRPr="00745864" w:rsidRDefault="00745864" w:rsidP="00745864">
            <w:pPr>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PUBLICACIONES CIENTÍFICAS, DIVULGATIVAS, CONGRESOS, SEMINARIOS, Y CHARLAS: 2011--a la fecha.</w:t>
            </w:r>
          </w:p>
          <w:p w:rsidR="00745864" w:rsidRPr="00745864" w:rsidRDefault="00745864" w:rsidP="00745864">
            <w:pPr>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 xml:space="preserve">PUBLICACIONES ISI: </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1.</w:t>
            </w:r>
            <w:r w:rsidRPr="00745864">
              <w:rPr>
                <w:rFonts w:ascii="Times" w:eastAsia="Times New Roman" w:hAnsi="Times" w:cs="Times"/>
                <w:color w:val="000000"/>
                <w:sz w:val="22"/>
                <w:lang w:val="es-CO" w:eastAsia="es-CO"/>
              </w:rPr>
              <w:tab/>
              <w:t xml:space="preserve">Donoso, G.; Paredes, M.; Arbiza, O.; Becerra, V. 2013. </w:t>
            </w:r>
            <w:r w:rsidRPr="00745864">
              <w:rPr>
                <w:rFonts w:ascii="Times" w:eastAsia="Times New Roman" w:hAnsi="Times" w:cs="Times"/>
                <w:color w:val="000000"/>
                <w:sz w:val="22"/>
                <w:lang w:val="en-US" w:eastAsia="es-CO"/>
              </w:rPr>
              <w:t xml:space="preserve">Cold tolerance evaluation of Chilean rice genotypes at germination stage. </w:t>
            </w:r>
            <w:r w:rsidRPr="00745864">
              <w:rPr>
                <w:rFonts w:ascii="Times" w:eastAsia="Times New Roman" w:hAnsi="Times" w:cs="Times"/>
                <w:color w:val="000000"/>
                <w:sz w:val="22"/>
                <w:lang w:val="es-CO" w:eastAsia="es-CO"/>
              </w:rPr>
              <w:t>Chilean J. Agric. Res. (Chile) 73: 3-8.</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2.  Donoso, G.; Cabas, P.; Paredes, M.; Becerra, V.; Balzarini, M. 2014. </w:t>
            </w:r>
            <w:r w:rsidRPr="00745864">
              <w:rPr>
                <w:rFonts w:ascii="Times" w:eastAsia="Times New Roman" w:hAnsi="Times" w:cs="Times"/>
                <w:color w:val="000000"/>
                <w:sz w:val="22"/>
                <w:lang w:val="en-US" w:eastAsia="es-CO"/>
              </w:rPr>
              <w:t>Cold tolerance of temperate rice (</w:t>
            </w:r>
            <w:r w:rsidRPr="00745864">
              <w:rPr>
                <w:rFonts w:ascii="Times" w:eastAsia="Times New Roman" w:hAnsi="Times" w:cs="Times"/>
                <w:i/>
                <w:iCs/>
                <w:color w:val="000000"/>
                <w:sz w:val="22"/>
                <w:lang w:val="en-US" w:eastAsia="es-CO"/>
              </w:rPr>
              <w:t>Oryza sativa</w:t>
            </w:r>
            <w:r w:rsidRPr="00745864">
              <w:rPr>
                <w:rFonts w:ascii="Times" w:eastAsia="Times New Roman" w:hAnsi="Times" w:cs="Times"/>
                <w:color w:val="000000"/>
                <w:sz w:val="22"/>
                <w:lang w:val="en-US" w:eastAsia="es-CO"/>
              </w:rPr>
              <w:t xml:space="preserve"> L.) genotypes at the seedling stage.  </w:t>
            </w:r>
            <w:r w:rsidRPr="00745864">
              <w:rPr>
                <w:rFonts w:ascii="Times" w:eastAsia="Times New Roman" w:hAnsi="Times" w:cs="Times"/>
                <w:color w:val="000000"/>
                <w:sz w:val="22"/>
                <w:lang w:val="es-CO" w:eastAsia="es-CO"/>
              </w:rPr>
              <w:t>Gayana Botánica (Chile) 72: 246-258.</w:t>
            </w:r>
          </w:p>
          <w:p w:rsidR="00745864" w:rsidRPr="00745864" w:rsidRDefault="00745864" w:rsidP="00745864">
            <w:pPr>
              <w:ind w:left="45" w:hanging="285"/>
              <w:rPr>
                <w:rFonts w:eastAsia="Times New Roman" w:cs="Times New Roman"/>
                <w:sz w:val="24"/>
                <w:szCs w:val="24"/>
                <w:lang w:val="en-US" w:eastAsia="es-CO"/>
              </w:rPr>
            </w:pPr>
            <w:r w:rsidRPr="00745864">
              <w:rPr>
                <w:rFonts w:ascii="Times" w:eastAsia="Times New Roman" w:hAnsi="Times" w:cs="Times"/>
                <w:color w:val="000000"/>
                <w:sz w:val="22"/>
                <w:lang w:val="es-CO" w:eastAsia="es-CO"/>
              </w:rPr>
              <w:t xml:space="preserve">3.  Donoso, G.; Leyton, M.; Paredes, M.; Becerra, V. 2014. </w:t>
            </w:r>
            <w:r w:rsidRPr="00745864">
              <w:rPr>
                <w:rFonts w:ascii="Times" w:eastAsia="Times New Roman" w:hAnsi="Times" w:cs="Times"/>
                <w:color w:val="000000"/>
                <w:sz w:val="22"/>
                <w:lang w:val="en-US" w:eastAsia="es-CO"/>
              </w:rPr>
              <w:t>Relative expression of genes related with cold tolerance in temperate rice at seedling stage. African J. Biotechnology.</w:t>
            </w:r>
            <w:r w:rsidRPr="00745864">
              <w:rPr>
                <w:rFonts w:ascii="Times" w:eastAsia="Times New Roman" w:hAnsi="Times" w:cs="Times"/>
                <w:color w:val="000000"/>
                <w:sz w:val="22"/>
                <w:shd w:val="clear" w:color="auto" w:fill="FFFFFF"/>
                <w:lang w:val="en-US" w:eastAsia="es-CO"/>
              </w:rPr>
              <w:t xml:space="preserve"> 13: 2506-2512.</w:t>
            </w:r>
          </w:p>
          <w:p w:rsidR="00745864" w:rsidRPr="00745864" w:rsidRDefault="00745864" w:rsidP="00745864">
            <w:pPr>
              <w:ind w:left="45" w:hanging="285"/>
              <w:rPr>
                <w:rFonts w:eastAsia="Times New Roman" w:cs="Times New Roman"/>
                <w:sz w:val="24"/>
                <w:szCs w:val="24"/>
                <w:lang w:val="en-US" w:eastAsia="es-CO"/>
              </w:rPr>
            </w:pPr>
            <w:r w:rsidRPr="00745864">
              <w:rPr>
                <w:rFonts w:ascii="Times" w:eastAsia="Times New Roman" w:hAnsi="Times" w:cs="Times"/>
                <w:color w:val="000000"/>
                <w:sz w:val="22"/>
                <w:lang w:val="en-US" w:eastAsia="es-CO"/>
              </w:rPr>
              <w:lastRenderedPageBreak/>
              <w:t>4.  Becerra, V.; Paredes, M.; Gutiérrez, E.; Rojo, C. 2015. Genetic diversity, identification, and certification of Chilean rice varieties using molecular markers. Chilean J. Agric. Res. (Chile):75:267-274.</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n-US" w:eastAsia="es-CO"/>
              </w:rPr>
              <w:t xml:space="preserve">5. </w:t>
            </w:r>
            <w:r w:rsidRPr="00745864">
              <w:rPr>
                <w:rFonts w:ascii="Times" w:eastAsia="Times New Roman" w:hAnsi="Times" w:cs="Times"/>
                <w:color w:val="000000"/>
                <w:sz w:val="22"/>
                <w:lang w:val="en-US" w:eastAsia="es-CO"/>
              </w:rPr>
              <w:tab/>
              <w:t xml:space="preserve">Donoso, G.; Paredes, M.; Becerra, V.; Arrepol, C.;  Balzarini, M. 2016. GGE biplot analysis of multi-environment yield trials in temperate rice in environments with low night temperatures. </w:t>
            </w:r>
            <w:r w:rsidRPr="00745864">
              <w:rPr>
                <w:rFonts w:ascii="Times" w:eastAsia="Times New Roman" w:hAnsi="Times" w:cs="Times"/>
                <w:color w:val="000000"/>
                <w:sz w:val="22"/>
                <w:lang w:val="es-CO" w:eastAsia="es-CO"/>
              </w:rPr>
              <w:t>Chilean J. Agric. Res (Chile): 76: 152-157.</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6. Becerra, V.; Paredes, M.; Ferreira, M.; Gutiérrez, E; Díaz, L. 2017. </w:t>
            </w:r>
            <w:r w:rsidRPr="00745864">
              <w:rPr>
                <w:rFonts w:ascii="Times" w:eastAsia="Times New Roman" w:hAnsi="Times" w:cs="Times"/>
                <w:color w:val="000000"/>
                <w:sz w:val="22"/>
                <w:lang w:val="en-US" w:eastAsia="es-CO"/>
              </w:rPr>
              <w:t xml:space="preserve">Assesment of the genetic diversity and population structure in temperate japonica rice germplasm used in breeding in Chile, with SSR markers. </w:t>
            </w:r>
            <w:r w:rsidRPr="00745864">
              <w:rPr>
                <w:rFonts w:ascii="Times" w:eastAsia="Times New Roman" w:hAnsi="Times" w:cs="Times"/>
                <w:color w:val="000000"/>
                <w:sz w:val="22"/>
                <w:lang w:val="es-CO" w:eastAsia="es-CO"/>
              </w:rPr>
              <w:t>Chilean J. Agric. Res. 77: 15-26.</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7. Paredes, M.; Becerra, V.; Donoso, G.; Cordero, K.; Saavedra, F.2017. </w:t>
            </w:r>
            <w:r w:rsidRPr="00745864">
              <w:rPr>
                <w:rFonts w:ascii="Times" w:eastAsia="Times New Roman" w:hAnsi="Times" w:cs="Times"/>
                <w:color w:val="000000"/>
                <w:sz w:val="22"/>
                <w:lang w:val="en-US" w:eastAsia="es-CO"/>
              </w:rPr>
              <w:t>Development a medium grain-sized rice (</w:t>
            </w:r>
            <w:r w:rsidRPr="00745864">
              <w:rPr>
                <w:rFonts w:ascii="Times" w:eastAsia="Times New Roman" w:hAnsi="Times" w:cs="Times"/>
                <w:i/>
                <w:iCs/>
                <w:color w:val="000000"/>
                <w:sz w:val="22"/>
                <w:lang w:val="en-US" w:eastAsia="es-CO"/>
              </w:rPr>
              <w:t>Oryza sativa</w:t>
            </w:r>
            <w:r w:rsidRPr="00745864">
              <w:rPr>
                <w:rFonts w:ascii="Times" w:eastAsia="Times New Roman" w:hAnsi="Times" w:cs="Times"/>
                <w:color w:val="000000"/>
                <w:sz w:val="22"/>
                <w:lang w:val="en-US" w:eastAsia="es-CO"/>
              </w:rPr>
              <w:t xml:space="preserve"> L.) cultivar with good yield and quality for cold environments. </w:t>
            </w:r>
            <w:r w:rsidRPr="00745864">
              <w:rPr>
                <w:rFonts w:ascii="Times" w:eastAsia="Times New Roman" w:hAnsi="Times" w:cs="Times"/>
                <w:color w:val="000000"/>
                <w:sz w:val="22"/>
                <w:lang w:val="es-CO" w:eastAsia="es-CO"/>
              </w:rPr>
              <w:t>Chilean J. Agric. Res. (en preparación).</w:t>
            </w:r>
          </w:p>
          <w:p w:rsidR="00745864" w:rsidRPr="00F13C23"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 xml:space="preserve">8. Paredes, M.; Becerra, V.; Donoso, G.; Vega, A.; Saavedra, F. 2017. </w:t>
            </w:r>
            <w:r w:rsidRPr="00745864">
              <w:rPr>
                <w:rFonts w:ascii="Times" w:eastAsia="Times New Roman" w:hAnsi="Times" w:cs="Times"/>
                <w:color w:val="000000"/>
                <w:sz w:val="22"/>
                <w:lang w:val="en-US" w:eastAsia="es-CO"/>
              </w:rPr>
              <w:t xml:space="preserve">Digua-INIA Clearfield: first Chilean rice clearfield variety. Chilean J. Agric. </w:t>
            </w:r>
            <w:r w:rsidRPr="00F13C23">
              <w:rPr>
                <w:rFonts w:ascii="Times" w:eastAsia="Times New Roman" w:hAnsi="Times" w:cs="Times"/>
                <w:color w:val="000000"/>
                <w:sz w:val="22"/>
                <w:lang w:val="es-CO" w:eastAsia="es-CO"/>
              </w:rPr>
              <w:t>Res. 77: 15-26. (en preparación).</w:t>
            </w:r>
          </w:p>
          <w:p w:rsidR="00745864" w:rsidRPr="00F13C23" w:rsidRDefault="00745864" w:rsidP="00745864">
            <w:pPr>
              <w:ind w:left="45" w:hanging="285"/>
              <w:rPr>
                <w:rFonts w:eastAsia="Times New Roman" w:cs="Times New Roman"/>
                <w:sz w:val="24"/>
                <w:szCs w:val="24"/>
                <w:lang w:val="es-CO" w:eastAsia="es-CO"/>
              </w:rPr>
            </w:pPr>
            <w:r w:rsidRPr="00F13C23">
              <w:rPr>
                <w:rFonts w:ascii="Times" w:eastAsia="Times New Roman" w:hAnsi="Times" w:cs="Times"/>
                <w:color w:val="000000"/>
                <w:sz w:val="22"/>
                <w:lang w:val="es-CO" w:eastAsia="es-CO"/>
              </w:rPr>
              <w:t xml:space="preserve">9.  Rojo, C.; Becerra, V.; France, A.; Paredes, M.; Balzarini, M. 2017. </w:t>
            </w:r>
            <w:r w:rsidRPr="00745864">
              <w:rPr>
                <w:rFonts w:ascii="Times" w:eastAsia="Times New Roman" w:hAnsi="Times" w:cs="Times"/>
                <w:color w:val="000000"/>
                <w:sz w:val="22"/>
                <w:lang w:val="en-US" w:eastAsia="es-CO"/>
              </w:rPr>
              <w:t xml:space="preserve">Genetic diversity of </w:t>
            </w:r>
            <w:r w:rsidRPr="00745864">
              <w:rPr>
                <w:rFonts w:ascii="Times" w:eastAsia="Times New Roman" w:hAnsi="Times" w:cs="Times"/>
                <w:i/>
                <w:iCs/>
                <w:color w:val="000000"/>
                <w:sz w:val="22"/>
                <w:lang w:val="en-US" w:eastAsia="es-CO"/>
              </w:rPr>
              <w:t>Chondrostereum purpureum</w:t>
            </w:r>
            <w:r w:rsidRPr="00745864">
              <w:rPr>
                <w:rFonts w:ascii="Times" w:eastAsia="Times New Roman" w:hAnsi="Times" w:cs="Times"/>
                <w:color w:val="000000"/>
                <w:sz w:val="22"/>
                <w:lang w:val="en-US" w:eastAsia="es-CO"/>
              </w:rPr>
              <w:t xml:space="preserve"> (PERS.) Pouzar, attacking blueberries in Chile. </w:t>
            </w:r>
            <w:r w:rsidRPr="00F13C23">
              <w:rPr>
                <w:rFonts w:ascii="Times" w:eastAsia="Times New Roman" w:hAnsi="Times" w:cs="Times"/>
                <w:color w:val="000000"/>
                <w:sz w:val="22"/>
                <w:lang w:val="es-CO" w:eastAsia="es-CO"/>
              </w:rPr>
              <w:t>Gayana Botánica (Chile). 74:176-188.</w:t>
            </w:r>
          </w:p>
          <w:p w:rsidR="00745864" w:rsidRPr="00F13C23" w:rsidRDefault="00745864" w:rsidP="00745864">
            <w:pPr>
              <w:ind w:left="45" w:hanging="285"/>
              <w:rPr>
                <w:rFonts w:eastAsia="Times New Roman" w:cs="Times New Roman"/>
                <w:sz w:val="24"/>
                <w:szCs w:val="24"/>
                <w:lang w:val="es-CO" w:eastAsia="es-CO"/>
              </w:rPr>
            </w:pPr>
            <w:r w:rsidRPr="00F13C23">
              <w:rPr>
                <w:rFonts w:ascii="Times" w:eastAsia="Times New Roman" w:hAnsi="Times" w:cs="Times"/>
                <w:b/>
                <w:bCs/>
                <w:color w:val="000000"/>
                <w:sz w:val="22"/>
                <w:lang w:val="es-CO" w:eastAsia="es-CO"/>
              </w:rPr>
              <w:t xml:space="preserve">DIVULGATIVAS: </w:t>
            </w:r>
            <w:r w:rsidRPr="00F13C23">
              <w:rPr>
                <w:rFonts w:ascii="Times" w:eastAsia="Times New Roman" w:hAnsi="Times" w:cs="Times"/>
                <w:color w:val="000000"/>
                <w:sz w:val="22"/>
                <w:lang w:val="es-CO" w:eastAsia="es-CO"/>
              </w:rPr>
              <w:t xml:space="preserve">37 </w:t>
            </w:r>
          </w:p>
          <w:p w:rsidR="00745864" w:rsidRPr="00745864" w:rsidRDefault="00745864" w:rsidP="00745864">
            <w:pPr>
              <w:ind w:left="45" w:hanging="285"/>
              <w:rPr>
                <w:rFonts w:eastAsia="Times New Roman" w:cs="Times New Roman"/>
                <w:sz w:val="24"/>
                <w:szCs w:val="24"/>
                <w:lang w:val="es-CO" w:eastAsia="es-CO"/>
              </w:rPr>
            </w:pPr>
            <w:r w:rsidRPr="00F13C23">
              <w:rPr>
                <w:rFonts w:ascii="Times" w:eastAsia="Times New Roman" w:hAnsi="Times" w:cs="Times"/>
                <w:color w:val="000000"/>
                <w:sz w:val="22"/>
                <w:lang w:val="es-CO" w:eastAsia="es-CO"/>
              </w:rPr>
              <w:t>1.   Paredes, M.; Becerra, V. (eds). 2015.  </w:t>
            </w:r>
            <w:r w:rsidRPr="00745864">
              <w:rPr>
                <w:rFonts w:ascii="Times" w:eastAsia="Times New Roman" w:hAnsi="Times" w:cs="Times"/>
                <w:color w:val="000000"/>
                <w:sz w:val="22"/>
                <w:lang w:val="es-CO" w:eastAsia="es-CO"/>
              </w:rPr>
              <w:t>Manual de Producción de Arroz: Buenas Prácticas Agrícolas (BPA). Instituto de Investigaciones Agropecuarias, INIA. 100p.</w:t>
            </w:r>
          </w:p>
          <w:p w:rsidR="00745864" w:rsidRPr="00745864" w:rsidRDefault="00745864" w:rsidP="00745864">
            <w:pPr>
              <w:ind w:left="45" w:hanging="285"/>
              <w:rPr>
                <w:rFonts w:eastAsia="Times New Roman" w:cs="Times New Roman"/>
                <w:sz w:val="24"/>
                <w:szCs w:val="24"/>
                <w:lang w:val="es-CO" w:eastAsia="es-CO"/>
              </w:rPr>
            </w:pPr>
            <w:r w:rsidRPr="00745864">
              <w:rPr>
                <w:rFonts w:ascii="Times" w:eastAsia="Times New Roman" w:hAnsi="Times" w:cs="Times"/>
                <w:color w:val="000000"/>
                <w:sz w:val="22"/>
                <w:lang w:val="es-CO" w:eastAsia="es-CO"/>
              </w:rPr>
              <w:t>2.  Paredes, M.; Becerra, V (eds). 2013. Tierra Adentro. Edición Especial Programa de Arroz INIA: Transfiriendo Ciencia y Tecnología para fortalecer la competitividad del sector .</w:t>
            </w:r>
          </w:p>
          <w:p w:rsidR="00745864" w:rsidRPr="00745864" w:rsidRDefault="00745864" w:rsidP="00745864">
            <w:pPr>
              <w:ind w:firstLine="45"/>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 xml:space="preserve">CARTILLAS DIVULGATIVAS,  FICHAS TÉCNICAS E INFORMATIVOS: </w:t>
            </w:r>
            <w:r w:rsidRPr="00745864">
              <w:rPr>
                <w:rFonts w:ascii="Times" w:eastAsia="Times New Roman" w:hAnsi="Times" w:cs="Times"/>
                <w:color w:val="000000"/>
                <w:sz w:val="22"/>
                <w:lang w:val="es-CO" w:eastAsia="es-CO"/>
              </w:rPr>
              <w:t>8 (2011 a la fecha)</w:t>
            </w:r>
          </w:p>
          <w:p w:rsidR="00745864" w:rsidRPr="00745864" w:rsidRDefault="00745864" w:rsidP="00745864">
            <w:pPr>
              <w:ind w:firstLine="45"/>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PRESENTACIÓN A CONGRESOS NACIONALES E INTERNACIONALES</w:t>
            </w:r>
            <w:r w:rsidRPr="00745864">
              <w:rPr>
                <w:rFonts w:ascii="Times" w:eastAsia="Times New Roman" w:hAnsi="Times" w:cs="Times"/>
                <w:color w:val="000000"/>
                <w:sz w:val="22"/>
                <w:lang w:val="es-CO" w:eastAsia="es-CO"/>
              </w:rPr>
              <w:t>: 48  (2011 a la fecha)</w:t>
            </w:r>
          </w:p>
          <w:p w:rsidR="00745864" w:rsidRPr="00745864" w:rsidRDefault="00745864" w:rsidP="00745864">
            <w:pPr>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PRESENTACIÓN A SEMINARIOS NACIONALES Y CHARLAS TÉCNICAS:</w:t>
            </w:r>
            <w:r w:rsidRPr="00745864">
              <w:rPr>
                <w:rFonts w:ascii="Times" w:eastAsia="Times New Roman" w:hAnsi="Times" w:cs="Times"/>
                <w:color w:val="000000"/>
                <w:sz w:val="22"/>
                <w:lang w:val="es-CO" w:eastAsia="es-CO"/>
              </w:rPr>
              <w:t>100  (2011 a la fecha)</w:t>
            </w:r>
          </w:p>
          <w:p w:rsidR="00745864" w:rsidRPr="00745864" w:rsidRDefault="00745864" w:rsidP="00745864">
            <w:pPr>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Equipo Técnico de INIA-Chile</w:t>
            </w:r>
          </w:p>
          <w:p w:rsidR="00745864" w:rsidRPr="00745864" w:rsidRDefault="00745864" w:rsidP="00745864">
            <w:pPr>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 xml:space="preserve">INIA Quilamapu; </w:t>
            </w:r>
            <w:r w:rsidRPr="00745864">
              <w:rPr>
                <w:rFonts w:ascii="Times" w:eastAsia="Times New Roman" w:hAnsi="Times" w:cs="Times"/>
                <w:color w:val="000000"/>
                <w:sz w:val="22"/>
                <w:lang w:val="es-CO" w:eastAsia="es-CO"/>
              </w:rPr>
              <w:t>Oscar Mario Paredes, Viviana Becerra, Gabriel Donoso, Hamil Uribe, Jorge González.</w:t>
            </w:r>
          </w:p>
          <w:p w:rsidR="00745864" w:rsidRPr="00745864" w:rsidRDefault="00745864" w:rsidP="00745864">
            <w:pPr>
              <w:jc w:val="left"/>
              <w:rPr>
                <w:rFonts w:eastAsia="Times New Roman" w:cs="Times New Roman"/>
                <w:sz w:val="24"/>
                <w:szCs w:val="24"/>
                <w:lang w:val="es-CO" w:eastAsia="es-CO"/>
              </w:rPr>
            </w:pPr>
            <w:r w:rsidRPr="00745864">
              <w:rPr>
                <w:rFonts w:ascii="Times" w:eastAsia="Times New Roman" w:hAnsi="Times" w:cs="Times"/>
                <w:b/>
                <w:bCs/>
                <w:color w:val="000000"/>
                <w:sz w:val="22"/>
                <w:lang w:val="es-CO" w:eastAsia="es-CO"/>
              </w:rPr>
              <w:t xml:space="preserve">INIA Remehue: </w:t>
            </w:r>
            <w:r w:rsidRPr="00745864">
              <w:rPr>
                <w:rFonts w:ascii="Times" w:eastAsia="Times New Roman" w:hAnsi="Times" w:cs="Times"/>
                <w:color w:val="000000"/>
                <w:sz w:val="22"/>
                <w:lang w:val="es-CO" w:eastAsia="es-CO"/>
              </w:rPr>
              <w:t>Marta Alfaro, Sara Hube, Luis Ramírez.</w:t>
            </w:r>
          </w:p>
          <w:p w:rsidR="00745864" w:rsidRPr="00745864" w:rsidRDefault="00745864" w:rsidP="00745864">
            <w:pPr>
              <w:jc w:val="left"/>
              <w:rPr>
                <w:rFonts w:eastAsia="Times New Roman" w:cs="Times New Roman"/>
                <w:sz w:val="24"/>
                <w:szCs w:val="24"/>
                <w:lang w:val="es-CO" w:eastAsia="es-CO"/>
              </w:rPr>
            </w:pPr>
          </w:p>
        </w:tc>
      </w:tr>
    </w:tbl>
    <w:p w:rsidR="00745864" w:rsidRDefault="00745864" w:rsidP="00745864">
      <w:pPr>
        <w:tabs>
          <w:tab w:val="left" w:pos="2469"/>
        </w:tabs>
        <w:rPr>
          <w:rFonts w:cs="Times New Roman"/>
        </w:rPr>
      </w:pPr>
    </w:p>
    <w:p w:rsidR="00745864" w:rsidRPr="00745864" w:rsidRDefault="00745864" w:rsidP="00745864">
      <w:pPr>
        <w:tabs>
          <w:tab w:val="left" w:pos="2469"/>
        </w:tabs>
        <w:rPr>
          <w:rFonts w:cs="Times New Roman"/>
        </w:rPr>
        <w:sectPr w:rsidR="00745864" w:rsidRPr="00745864" w:rsidSect="009E4AFA">
          <w:pgSz w:w="12240" w:h="15840"/>
          <w:pgMar w:top="1440" w:right="1800" w:bottom="1440" w:left="1800" w:header="720" w:footer="720" w:gutter="0"/>
          <w:cols w:space="720"/>
          <w:docGrid w:linePitch="360"/>
        </w:sectPr>
      </w:pPr>
      <w:r>
        <w:rPr>
          <w:rFonts w:cs="Times New Roman"/>
        </w:rPr>
        <w:tab/>
      </w:r>
    </w:p>
    <w:p w:rsidR="0038588C" w:rsidRPr="00797372" w:rsidRDefault="0038588C" w:rsidP="00405213">
      <w:pPr>
        <w:pStyle w:val="ListParagraph"/>
        <w:numPr>
          <w:ilvl w:val="1"/>
          <w:numId w:val="13"/>
        </w:numPr>
        <w:rPr>
          <w:rFonts w:cs="Times New Roman"/>
          <w:sz w:val="22"/>
        </w:rPr>
      </w:pPr>
      <w:r w:rsidRPr="00797372">
        <w:rPr>
          <w:rFonts w:cs="Times New Roman"/>
          <w:sz w:val="22"/>
        </w:rPr>
        <w:lastRenderedPageBreak/>
        <w:t xml:space="preserve">Anexo </w:t>
      </w:r>
      <w:r w:rsidR="003A5C34" w:rsidRPr="00797372">
        <w:rPr>
          <w:rFonts w:cs="Times New Roman"/>
          <w:sz w:val="22"/>
        </w:rPr>
        <w:t>V</w:t>
      </w:r>
      <w:r w:rsidRPr="00797372">
        <w:rPr>
          <w:rFonts w:cs="Times New Roman"/>
          <w:sz w:val="22"/>
        </w:rPr>
        <w:t>II. Plan de Adquisiciones</w:t>
      </w:r>
    </w:p>
    <w:p w:rsidR="0038588C" w:rsidRPr="00F13C23" w:rsidRDefault="00F13C23" w:rsidP="00C93CF3">
      <w:pPr>
        <w:rPr>
          <w:rFonts w:cs="Times New Roman"/>
          <w:lang w:val="es-CO"/>
        </w:rPr>
      </w:pPr>
      <w:r w:rsidRPr="00F13C23">
        <w:rPr>
          <w:noProof/>
          <w:lang w:val="en-US"/>
        </w:rPr>
        <w:drawing>
          <wp:inline distT="0" distB="0" distL="0" distR="0">
            <wp:extent cx="5486400" cy="643633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436331"/>
                    </a:xfrm>
                    <a:prstGeom prst="rect">
                      <a:avLst/>
                    </a:prstGeom>
                    <a:noFill/>
                    <a:ln>
                      <a:noFill/>
                    </a:ln>
                  </pic:spPr>
                </pic:pic>
              </a:graphicData>
            </a:graphic>
          </wp:inline>
        </w:drawing>
      </w:r>
    </w:p>
    <w:p w:rsidR="00342EB0" w:rsidRPr="000B7E0D" w:rsidRDefault="00342EB0" w:rsidP="00C93CF3">
      <w:pPr>
        <w:rPr>
          <w:rFonts w:cs="Times New Roman"/>
        </w:rPr>
        <w:sectPr w:rsidR="00342EB0" w:rsidRPr="000B7E0D" w:rsidSect="009E4AFA">
          <w:pgSz w:w="12240" w:h="15840"/>
          <w:pgMar w:top="1440" w:right="1800" w:bottom="1440" w:left="1800" w:header="720" w:footer="720" w:gutter="0"/>
          <w:cols w:space="720"/>
          <w:docGrid w:linePitch="360"/>
        </w:sectPr>
      </w:pPr>
    </w:p>
    <w:p w:rsidR="0006771B" w:rsidRPr="00797372" w:rsidRDefault="003A5C34" w:rsidP="003A5C34">
      <w:pPr>
        <w:pStyle w:val="ListParagraph"/>
        <w:numPr>
          <w:ilvl w:val="0"/>
          <w:numId w:val="0"/>
        </w:numPr>
        <w:ind w:left="720"/>
        <w:rPr>
          <w:rFonts w:cs="Times New Roman"/>
          <w:sz w:val="22"/>
        </w:rPr>
      </w:pPr>
      <w:r w:rsidRPr="00797372">
        <w:rPr>
          <w:rFonts w:cs="Times New Roman"/>
          <w:sz w:val="22"/>
        </w:rPr>
        <w:lastRenderedPageBreak/>
        <w:t xml:space="preserve">9.8 </w:t>
      </w:r>
      <w:r w:rsidR="0006771B" w:rsidRPr="00797372">
        <w:rPr>
          <w:rFonts w:cs="Times New Roman"/>
          <w:sz w:val="22"/>
        </w:rPr>
        <w:t>Anexo VI</w:t>
      </w:r>
      <w:r w:rsidRPr="00797372">
        <w:rPr>
          <w:rFonts w:cs="Times New Roman"/>
          <w:sz w:val="22"/>
        </w:rPr>
        <w:t>II</w:t>
      </w:r>
      <w:r w:rsidR="0006771B" w:rsidRPr="00797372">
        <w:rPr>
          <w:rFonts w:cs="Times New Roman"/>
          <w:sz w:val="22"/>
        </w:rPr>
        <w:t xml:space="preserve">. Cartas de Compromiso del aporte de contrapartida local </w:t>
      </w:r>
    </w:p>
    <w:p w:rsidR="0006771B" w:rsidRPr="000B7E0D" w:rsidRDefault="0006771B" w:rsidP="00C630D5">
      <w:pPr>
        <w:rPr>
          <w:rFonts w:cs="Arial"/>
          <w:color w:val="000000"/>
          <w:szCs w:val="20"/>
        </w:rPr>
      </w:pPr>
    </w:p>
    <w:p w:rsidR="0006771B" w:rsidRPr="000B7E0D" w:rsidRDefault="0006771B" w:rsidP="0006771B">
      <w:pPr>
        <w:rPr>
          <w:rFonts w:cs="Arial"/>
          <w:color w:val="000000"/>
          <w:szCs w:val="20"/>
        </w:rPr>
      </w:pPr>
    </w:p>
    <w:p w:rsidR="001F3238" w:rsidRDefault="009F769B" w:rsidP="001F5ADF">
      <w:pPr>
        <w:rPr>
          <w:rFonts w:cs="Times New Roman"/>
        </w:rPr>
      </w:pPr>
      <w:r>
        <w:rPr>
          <w:noProof/>
          <w:color w:val="000000"/>
          <w:szCs w:val="20"/>
          <w:lang w:val="en-US"/>
        </w:rPr>
        <w:drawing>
          <wp:inline distT="0" distB="0" distL="0" distR="0" wp14:anchorId="37A54D1E" wp14:editId="26A0778C">
            <wp:extent cx="5274129" cy="7152427"/>
            <wp:effectExtent l="0" t="0" r="3175" b="0"/>
            <wp:docPr id="2" name="Picture 2" descr="https://lh6.googleusercontent.com/qiqsMWtkCLlZvtRxl8FbkksvBVRURqpBGHfo2JmwlkgVB15MsxhftgA8TmIW_awKwmeoIfGi7nuN6W3OTTnyB9VMSxm24izAYcQ6edjln71qiXbXWAD2F_FVphaxfzw8MmObT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iqsMWtkCLlZvtRxl8FbkksvBVRURqpBGHfo2JmwlkgVB15MsxhftgA8TmIW_awKwmeoIfGi7nuN6W3OTTnyB9VMSxm24izAYcQ6edjln71qiXbXWAD2F_FVphaxfzw8MmObTDi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5213" cy="7153897"/>
                    </a:xfrm>
                    <a:prstGeom prst="rect">
                      <a:avLst/>
                    </a:prstGeom>
                    <a:noFill/>
                    <a:ln>
                      <a:noFill/>
                    </a:ln>
                  </pic:spPr>
                </pic:pic>
              </a:graphicData>
            </a:graphic>
          </wp:inline>
        </w:drawing>
      </w:r>
    </w:p>
    <w:p w:rsidR="009F769B" w:rsidRDefault="009F769B" w:rsidP="001F5ADF">
      <w:pPr>
        <w:rPr>
          <w:rFonts w:cs="Times New Roman"/>
        </w:rPr>
      </w:pPr>
    </w:p>
    <w:p w:rsidR="009F769B" w:rsidRDefault="009F769B" w:rsidP="001F5ADF">
      <w:pPr>
        <w:rPr>
          <w:rFonts w:cs="Times New Roman"/>
        </w:rPr>
      </w:pPr>
    </w:p>
    <w:p w:rsidR="009F769B" w:rsidRDefault="009F769B" w:rsidP="001F5ADF">
      <w:pPr>
        <w:rPr>
          <w:rFonts w:cs="Times New Roman"/>
        </w:rPr>
      </w:pPr>
    </w:p>
    <w:p w:rsidR="009F769B" w:rsidRDefault="009F769B" w:rsidP="001F5ADF">
      <w:pPr>
        <w:rPr>
          <w:rFonts w:cs="Times New Roman"/>
        </w:rPr>
      </w:pPr>
    </w:p>
    <w:p w:rsidR="009F769B" w:rsidRDefault="009F769B" w:rsidP="001F5ADF">
      <w:pPr>
        <w:rPr>
          <w:rFonts w:cs="Times New Roman"/>
        </w:rPr>
      </w:pPr>
    </w:p>
    <w:p w:rsidR="009F769B" w:rsidRDefault="009F769B" w:rsidP="001F5ADF">
      <w:pPr>
        <w:rPr>
          <w:rFonts w:cs="Times New Roman"/>
        </w:rPr>
      </w:pPr>
      <w:r w:rsidRPr="009F769B">
        <w:rPr>
          <w:rFonts w:cs="Times New Roman"/>
          <w:noProof/>
          <w:lang w:val="en-US"/>
        </w:rPr>
        <w:drawing>
          <wp:inline distT="0" distB="0" distL="0" distR="0" wp14:anchorId="0850D746" wp14:editId="377C9110">
            <wp:extent cx="5486400" cy="71465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146598"/>
                    </a:xfrm>
                    <a:prstGeom prst="rect">
                      <a:avLst/>
                    </a:prstGeom>
                    <a:noFill/>
                    <a:ln>
                      <a:noFill/>
                    </a:ln>
                  </pic:spPr>
                </pic:pic>
              </a:graphicData>
            </a:graphic>
          </wp:inline>
        </w:drawing>
      </w: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bookmarkStart w:id="0" w:name="_GoBack"/>
      <w:bookmarkEnd w:id="0"/>
      <w:r w:rsidRPr="005F499D">
        <w:rPr>
          <w:rFonts w:cs="Times New Roman"/>
          <w:noProof/>
          <w:lang w:val="en-US"/>
        </w:rPr>
        <w:drawing>
          <wp:inline distT="0" distB="0" distL="0" distR="0" wp14:anchorId="7C9E6F6C" wp14:editId="42B4C85C">
            <wp:extent cx="5486400" cy="7646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646792"/>
                    </a:xfrm>
                    <a:prstGeom prst="rect">
                      <a:avLst/>
                    </a:prstGeom>
                    <a:noFill/>
                    <a:ln>
                      <a:noFill/>
                    </a:ln>
                  </pic:spPr>
                </pic:pic>
              </a:graphicData>
            </a:graphic>
          </wp:inline>
        </w:drawing>
      </w:r>
    </w:p>
    <w:p w:rsidR="005F499D" w:rsidRDefault="005F499D" w:rsidP="001F5ADF">
      <w:pPr>
        <w:rPr>
          <w:rFonts w:cs="Times New Roman"/>
        </w:rPr>
      </w:pPr>
    </w:p>
    <w:p w:rsidR="005F499D" w:rsidRDefault="005F499D" w:rsidP="001F5ADF">
      <w:pPr>
        <w:rPr>
          <w:rFonts w:cs="Times New Roman"/>
        </w:rPr>
      </w:pPr>
      <w:r>
        <w:rPr>
          <w:noProof/>
          <w:color w:val="000000"/>
          <w:szCs w:val="20"/>
          <w:lang w:val="en-US"/>
        </w:rPr>
        <w:drawing>
          <wp:inline distT="0" distB="0" distL="0" distR="0" wp14:anchorId="090539D9" wp14:editId="03159F9D">
            <wp:extent cx="4963795" cy="5507990"/>
            <wp:effectExtent l="0" t="0" r="8255" b="0"/>
            <wp:docPr id="5" name="Picture 5" descr="https://lh6.googleusercontent.com/GO_WJyKx8EdEUJldSVBGocEU4n9kzwo17A6AdL3YoIlIJgM_EbgatcqY3rsI6vgI12rSXUHoJQf4WGf-8Qpvudy5Am4QUwNYbk96S4Zw4Euozi_p9t9uXevXgwRy-d0trR8CXm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O_WJyKx8EdEUJldSVBGocEU4n9kzwo17A6AdL3YoIlIJgM_EbgatcqY3rsI6vgI12rSXUHoJQf4WGf-8Qpvudy5Am4QUwNYbk96S4Zw4Euozi_p9t9uXevXgwRy-d0trR8CXmj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3795" cy="5507990"/>
                    </a:xfrm>
                    <a:prstGeom prst="rect">
                      <a:avLst/>
                    </a:prstGeom>
                    <a:noFill/>
                    <a:ln>
                      <a:noFill/>
                    </a:ln>
                  </pic:spPr>
                </pic:pic>
              </a:graphicData>
            </a:graphic>
          </wp:inline>
        </w:drawing>
      </w: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r>
        <w:rPr>
          <w:noProof/>
          <w:color w:val="0000FF"/>
          <w:szCs w:val="20"/>
          <w:lang w:val="en-US"/>
        </w:rPr>
        <w:drawing>
          <wp:inline distT="0" distB="0" distL="0" distR="0" wp14:anchorId="0BF1C1DE" wp14:editId="29676BE3">
            <wp:extent cx="5486400" cy="6297295"/>
            <wp:effectExtent l="0" t="0" r="0" b="8255"/>
            <wp:docPr id="6" name="Picture 6" descr="https://lh4.googleusercontent.com/TEAmd2ki54c3hAO4jE90m64bkTpkyOWJ3pfN0jPLp14hYxmS_is5O8imcTD14faBs_o1RzVN7kpH1PnQ0yhV3xQ69RV6bx0ibMiCQ83GtPv-2DXLPXHbjva8syvp8q-hek3taJ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TEAmd2ki54c3hAO4jE90m64bkTpkyOWJ3pfN0jPLp14hYxmS_is5O8imcTD14faBs_o1RzVN7kpH1PnQ0yhV3xQ69RV6bx0ibMiCQ83GtPv-2DXLPXHbjva8syvp8q-hek3taJi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297295"/>
                    </a:xfrm>
                    <a:prstGeom prst="rect">
                      <a:avLst/>
                    </a:prstGeom>
                    <a:noFill/>
                    <a:ln>
                      <a:noFill/>
                    </a:ln>
                  </pic:spPr>
                </pic:pic>
              </a:graphicData>
            </a:graphic>
          </wp:inline>
        </w:drawing>
      </w:r>
    </w:p>
    <w:p w:rsidR="009F769B" w:rsidRDefault="009F769B"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Default="005F499D" w:rsidP="001F5ADF">
      <w:pPr>
        <w:rPr>
          <w:rFonts w:cs="Times New Roman"/>
        </w:rPr>
      </w:pPr>
    </w:p>
    <w:p w:rsidR="005F499D" w:rsidRPr="000B7E0D" w:rsidRDefault="005F499D" w:rsidP="001F5ADF">
      <w:pPr>
        <w:rPr>
          <w:rFonts w:cs="Times New Roman"/>
        </w:rPr>
      </w:pPr>
      <w:r w:rsidRPr="005F499D">
        <w:rPr>
          <w:rFonts w:cs="Times New Roman"/>
          <w:noProof/>
          <w:lang w:val="en-US"/>
        </w:rPr>
        <w:drawing>
          <wp:inline distT="0" distB="0" distL="0" distR="0" wp14:anchorId="7CA23A59" wp14:editId="4F0FDD00">
            <wp:extent cx="5486400" cy="7054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054607"/>
                    </a:xfrm>
                    <a:prstGeom prst="rect">
                      <a:avLst/>
                    </a:prstGeom>
                    <a:noFill/>
                    <a:ln>
                      <a:noFill/>
                    </a:ln>
                  </pic:spPr>
                </pic:pic>
              </a:graphicData>
            </a:graphic>
          </wp:inline>
        </w:drawing>
      </w:r>
    </w:p>
    <w:sectPr w:rsidR="005F499D" w:rsidRPr="000B7E0D" w:rsidSect="009E4AF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741" w:rsidRDefault="003F2741" w:rsidP="0095711B">
      <w:r>
        <w:separator/>
      </w:r>
    </w:p>
  </w:endnote>
  <w:endnote w:type="continuationSeparator" w:id="0">
    <w:p w:rsidR="003F2741" w:rsidRDefault="003F2741" w:rsidP="0095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0B" w:rsidRDefault="00743A0B">
    <w:pPr>
      <w:pStyle w:val="Footer"/>
      <w:jc w:val="center"/>
    </w:pPr>
  </w:p>
  <w:p w:rsidR="00743A0B" w:rsidRDefault="00743A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0B" w:rsidRDefault="00743A0B">
    <w:pPr>
      <w:pStyle w:val="Footer"/>
      <w:jc w:val="center"/>
    </w:pPr>
  </w:p>
  <w:p w:rsidR="00743A0B" w:rsidRDefault="00743A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741" w:rsidRDefault="003F2741" w:rsidP="0095711B">
      <w:r>
        <w:separator/>
      </w:r>
    </w:p>
  </w:footnote>
  <w:footnote w:type="continuationSeparator" w:id="0">
    <w:p w:rsidR="003F2741" w:rsidRDefault="003F2741" w:rsidP="00957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178865"/>
      <w:docPartObj>
        <w:docPartGallery w:val="Page Numbers (Top of Page)"/>
        <w:docPartUnique/>
      </w:docPartObj>
    </w:sdtPr>
    <w:sdtEndPr>
      <w:rPr>
        <w:rFonts w:ascii="Gotham Book" w:hAnsi="Gotham Book"/>
        <w:noProof/>
        <w:sz w:val="18"/>
        <w:szCs w:val="18"/>
      </w:rPr>
    </w:sdtEndPr>
    <w:sdtContent>
      <w:p w:rsidR="00743A0B" w:rsidRPr="007C6B4B" w:rsidRDefault="00743A0B">
        <w:pPr>
          <w:pStyle w:val="Header"/>
          <w:jc w:val="center"/>
          <w:rPr>
            <w:rFonts w:ascii="Gotham Book" w:hAnsi="Gotham Book" w:hint="eastAsia"/>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047D65">
          <w:rPr>
            <w:rFonts w:ascii="Gotham Book" w:hAnsi="Gotham Book" w:hint="eastAsia"/>
            <w:noProof/>
            <w:sz w:val="18"/>
            <w:szCs w:val="18"/>
          </w:rPr>
          <w:t>25</w:t>
        </w:r>
        <w:r w:rsidRPr="007C6B4B">
          <w:rPr>
            <w:rFonts w:ascii="Gotham Book" w:hAnsi="Gotham Book"/>
            <w:noProof/>
            <w:sz w:val="18"/>
            <w:szCs w:val="18"/>
          </w:rPr>
          <w:fldChar w:fldCharType="end"/>
        </w:r>
        <w:r>
          <w:rPr>
            <w:rFonts w:ascii="Gotham Book" w:hAnsi="Gotham Book"/>
            <w:noProof/>
            <w:sz w:val="18"/>
            <w:szCs w:val="18"/>
          </w:rPr>
          <w:t>-</w:t>
        </w:r>
      </w:p>
    </w:sdtContent>
  </w:sdt>
  <w:p w:rsidR="00743A0B" w:rsidRDefault="00743A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74524"/>
      <w:docPartObj>
        <w:docPartGallery w:val="Page Numbers (Top of Page)"/>
        <w:docPartUnique/>
      </w:docPartObj>
    </w:sdtPr>
    <w:sdtEndPr>
      <w:rPr>
        <w:rFonts w:ascii="Gotham Book" w:hAnsi="Gotham Book"/>
        <w:noProof/>
        <w:sz w:val="18"/>
        <w:szCs w:val="18"/>
      </w:rPr>
    </w:sdtEndPr>
    <w:sdtContent>
      <w:p w:rsidR="00743A0B" w:rsidRPr="007C6B4B" w:rsidRDefault="00743A0B">
        <w:pPr>
          <w:pStyle w:val="Header"/>
          <w:jc w:val="center"/>
          <w:rPr>
            <w:rFonts w:ascii="Gotham Book" w:hAnsi="Gotham Book" w:hint="eastAsia"/>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047D65">
          <w:rPr>
            <w:rFonts w:ascii="Gotham Book" w:hAnsi="Gotham Book" w:hint="eastAsia"/>
            <w:noProof/>
            <w:sz w:val="18"/>
            <w:szCs w:val="18"/>
          </w:rPr>
          <w:t>36</w:t>
        </w:r>
        <w:r w:rsidRPr="007C6B4B">
          <w:rPr>
            <w:rFonts w:ascii="Gotham Book" w:hAnsi="Gotham Book"/>
            <w:noProof/>
            <w:sz w:val="18"/>
            <w:szCs w:val="18"/>
          </w:rPr>
          <w:fldChar w:fldCharType="end"/>
        </w:r>
        <w:r>
          <w:rPr>
            <w:rFonts w:ascii="Gotham Book" w:hAnsi="Gotham Book"/>
            <w:noProof/>
            <w:sz w:val="18"/>
            <w:szCs w:val="18"/>
          </w:rPr>
          <w:t>-</w:t>
        </w:r>
      </w:p>
    </w:sdtContent>
  </w:sdt>
  <w:p w:rsidR="00743A0B" w:rsidRDefault="00743A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4A39"/>
    <w:multiLevelType w:val="multilevel"/>
    <w:tmpl w:val="38741F7A"/>
    <w:lvl w:ilvl="0">
      <w:start w:val="4"/>
      <w:numFmt w:val="decimal"/>
      <w:lvlText w:val="%1"/>
      <w:lvlJc w:val="left"/>
      <w:pPr>
        <w:ind w:left="360" w:hanging="360"/>
      </w:pPr>
      <w:rPr>
        <w:rFonts w:ascii="Times" w:hAnsi="Times" w:cs="Times" w:hint="default"/>
        <w:color w:val="000000"/>
        <w:sz w:val="22"/>
      </w:rPr>
    </w:lvl>
    <w:lvl w:ilvl="1">
      <w:start w:val="7"/>
      <w:numFmt w:val="decimal"/>
      <w:lvlText w:val="%1.%2"/>
      <w:lvlJc w:val="left"/>
      <w:pPr>
        <w:ind w:left="720" w:hanging="360"/>
      </w:pPr>
      <w:rPr>
        <w:rFonts w:ascii="Times" w:hAnsi="Times" w:cs="Times" w:hint="default"/>
        <w:color w:val="000000"/>
        <w:sz w:val="22"/>
      </w:rPr>
    </w:lvl>
    <w:lvl w:ilvl="2">
      <w:start w:val="1"/>
      <w:numFmt w:val="decimal"/>
      <w:lvlText w:val="%1.%2.%3"/>
      <w:lvlJc w:val="left"/>
      <w:pPr>
        <w:ind w:left="1440" w:hanging="720"/>
      </w:pPr>
      <w:rPr>
        <w:rFonts w:ascii="Times" w:hAnsi="Times" w:cs="Times" w:hint="default"/>
        <w:color w:val="000000"/>
        <w:sz w:val="22"/>
      </w:rPr>
    </w:lvl>
    <w:lvl w:ilvl="3">
      <w:start w:val="1"/>
      <w:numFmt w:val="decimal"/>
      <w:lvlText w:val="%1.%2.%3.%4"/>
      <w:lvlJc w:val="left"/>
      <w:pPr>
        <w:ind w:left="1800" w:hanging="720"/>
      </w:pPr>
      <w:rPr>
        <w:rFonts w:ascii="Times" w:hAnsi="Times" w:cs="Times" w:hint="default"/>
        <w:color w:val="000000"/>
        <w:sz w:val="22"/>
      </w:rPr>
    </w:lvl>
    <w:lvl w:ilvl="4">
      <w:start w:val="1"/>
      <w:numFmt w:val="decimal"/>
      <w:lvlText w:val="%1.%2.%3.%4.%5"/>
      <w:lvlJc w:val="left"/>
      <w:pPr>
        <w:ind w:left="2520" w:hanging="1080"/>
      </w:pPr>
      <w:rPr>
        <w:rFonts w:ascii="Times" w:hAnsi="Times" w:cs="Times" w:hint="default"/>
        <w:color w:val="000000"/>
        <w:sz w:val="22"/>
      </w:rPr>
    </w:lvl>
    <w:lvl w:ilvl="5">
      <w:start w:val="1"/>
      <w:numFmt w:val="decimal"/>
      <w:lvlText w:val="%1.%2.%3.%4.%5.%6"/>
      <w:lvlJc w:val="left"/>
      <w:pPr>
        <w:ind w:left="2880" w:hanging="1080"/>
      </w:pPr>
      <w:rPr>
        <w:rFonts w:ascii="Times" w:hAnsi="Times" w:cs="Times" w:hint="default"/>
        <w:color w:val="000000"/>
        <w:sz w:val="22"/>
      </w:rPr>
    </w:lvl>
    <w:lvl w:ilvl="6">
      <w:start w:val="1"/>
      <w:numFmt w:val="decimal"/>
      <w:lvlText w:val="%1.%2.%3.%4.%5.%6.%7"/>
      <w:lvlJc w:val="left"/>
      <w:pPr>
        <w:ind w:left="3600" w:hanging="1440"/>
      </w:pPr>
      <w:rPr>
        <w:rFonts w:ascii="Times" w:hAnsi="Times" w:cs="Times" w:hint="default"/>
        <w:color w:val="000000"/>
        <w:sz w:val="22"/>
      </w:rPr>
    </w:lvl>
    <w:lvl w:ilvl="7">
      <w:start w:val="1"/>
      <w:numFmt w:val="decimal"/>
      <w:lvlText w:val="%1.%2.%3.%4.%5.%6.%7.%8"/>
      <w:lvlJc w:val="left"/>
      <w:pPr>
        <w:ind w:left="3960" w:hanging="1440"/>
      </w:pPr>
      <w:rPr>
        <w:rFonts w:ascii="Times" w:hAnsi="Times" w:cs="Times" w:hint="default"/>
        <w:color w:val="000000"/>
        <w:sz w:val="22"/>
      </w:rPr>
    </w:lvl>
    <w:lvl w:ilvl="8">
      <w:start w:val="1"/>
      <w:numFmt w:val="decimal"/>
      <w:lvlText w:val="%1.%2.%3.%4.%5.%6.%7.%8.%9"/>
      <w:lvlJc w:val="left"/>
      <w:pPr>
        <w:ind w:left="4680" w:hanging="1800"/>
      </w:pPr>
      <w:rPr>
        <w:rFonts w:ascii="Times" w:hAnsi="Times" w:cs="Times" w:hint="default"/>
        <w:color w:val="000000"/>
        <w:sz w:val="22"/>
      </w:rPr>
    </w:lvl>
  </w:abstractNum>
  <w:abstractNum w:abstractNumId="1" w15:restartNumberingAfterBreak="0">
    <w:nsid w:val="0B7A0587"/>
    <w:multiLevelType w:val="hybridMultilevel"/>
    <w:tmpl w:val="331AEC36"/>
    <w:lvl w:ilvl="0" w:tplc="60AADC58">
      <w:start w:val="1"/>
      <w:numFmt w:val="lowerLetter"/>
      <w:lvlText w:val="%1)"/>
      <w:lvlJc w:val="left"/>
      <w:pPr>
        <w:ind w:left="1008" w:hanging="360"/>
      </w:pPr>
      <w:rPr>
        <w:rFonts w:hint="default"/>
        <w:b w:val="0"/>
      </w:rPr>
    </w:lvl>
    <w:lvl w:ilvl="1" w:tplc="240A0019">
      <w:start w:val="1"/>
      <w:numFmt w:val="lowerLetter"/>
      <w:lvlText w:val="%2."/>
      <w:lvlJc w:val="left"/>
      <w:pPr>
        <w:ind w:left="1728" w:hanging="360"/>
      </w:pPr>
    </w:lvl>
    <w:lvl w:ilvl="2" w:tplc="240A001B">
      <w:start w:val="1"/>
      <w:numFmt w:val="lowerRoman"/>
      <w:lvlText w:val="%3."/>
      <w:lvlJc w:val="right"/>
      <w:pPr>
        <w:ind w:left="2448" w:hanging="180"/>
      </w:pPr>
    </w:lvl>
    <w:lvl w:ilvl="3" w:tplc="240A000F" w:tentative="1">
      <w:start w:val="1"/>
      <w:numFmt w:val="decimal"/>
      <w:lvlText w:val="%4."/>
      <w:lvlJc w:val="left"/>
      <w:pPr>
        <w:ind w:left="3168" w:hanging="360"/>
      </w:pPr>
    </w:lvl>
    <w:lvl w:ilvl="4" w:tplc="240A0019" w:tentative="1">
      <w:start w:val="1"/>
      <w:numFmt w:val="lowerLetter"/>
      <w:lvlText w:val="%5."/>
      <w:lvlJc w:val="left"/>
      <w:pPr>
        <w:ind w:left="3888" w:hanging="360"/>
      </w:pPr>
    </w:lvl>
    <w:lvl w:ilvl="5" w:tplc="240A001B" w:tentative="1">
      <w:start w:val="1"/>
      <w:numFmt w:val="lowerRoman"/>
      <w:lvlText w:val="%6."/>
      <w:lvlJc w:val="right"/>
      <w:pPr>
        <w:ind w:left="4608" w:hanging="180"/>
      </w:pPr>
    </w:lvl>
    <w:lvl w:ilvl="6" w:tplc="240A000F" w:tentative="1">
      <w:start w:val="1"/>
      <w:numFmt w:val="decimal"/>
      <w:lvlText w:val="%7."/>
      <w:lvlJc w:val="left"/>
      <w:pPr>
        <w:ind w:left="5328" w:hanging="360"/>
      </w:pPr>
    </w:lvl>
    <w:lvl w:ilvl="7" w:tplc="240A0019" w:tentative="1">
      <w:start w:val="1"/>
      <w:numFmt w:val="lowerLetter"/>
      <w:lvlText w:val="%8."/>
      <w:lvlJc w:val="left"/>
      <w:pPr>
        <w:ind w:left="6048" w:hanging="360"/>
      </w:pPr>
    </w:lvl>
    <w:lvl w:ilvl="8" w:tplc="240A001B" w:tentative="1">
      <w:start w:val="1"/>
      <w:numFmt w:val="lowerRoman"/>
      <w:lvlText w:val="%9."/>
      <w:lvlJc w:val="right"/>
      <w:pPr>
        <w:ind w:left="6768" w:hanging="180"/>
      </w:pPr>
    </w:lvl>
  </w:abstractNum>
  <w:abstractNum w:abstractNumId="2" w15:restartNumberingAfterBreak="0">
    <w:nsid w:val="17C34C2A"/>
    <w:multiLevelType w:val="multilevel"/>
    <w:tmpl w:val="5A0847B2"/>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3" w15:restartNumberingAfterBreak="0">
    <w:nsid w:val="1B8B4EE0"/>
    <w:multiLevelType w:val="hybridMultilevel"/>
    <w:tmpl w:val="213AFED4"/>
    <w:lvl w:ilvl="0" w:tplc="F948EE4A">
      <w:start w:val="8"/>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3175D1"/>
    <w:multiLevelType w:val="multilevel"/>
    <w:tmpl w:val="4516BED8"/>
    <w:lvl w:ilvl="0">
      <w:start w:val="1"/>
      <w:numFmt w:val="upperRoman"/>
      <w:lvlText w:val="%1."/>
      <w:lvlJc w:val="right"/>
      <w:pPr>
        <w:ind w:left="720" w:hanging="360"/>
      </w:pPr>
    </w:lvl>
    <w:lvl w:ilvl="1">
      <w:start w:val="1"/>
      <w:numFmt w:val="decimal"/>
      <w:lvlText w:val="%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5" w15:restartNumberingAfterBreak="0">
    <w:nsid w:val="35B51979"/>
    <w:multiLevelType w:val="multilevel"/>
    <w:tmpl w:val="B3F68B74"/>
    <w:lvl w:ilvl="0">
      <w:start w:val="4"/>
      <w:numFmt w:val="decimal"/>
      <w:lvlText w:val="%1"/>
      <w:lvlJc w:val="left"/>
      <w:pPr>
        <w:ind w:left="360" w:hanging="360"/>
      </w:pPr>
      <w:rPr>
        <w:rFonts w:hint="default"/>
        <w:color w:val="000000"/>
      </w:rPr>
    </w:lvl>
    <w:lvl w:ilvl="1">
      <w:start w:val="1"/>
      <w:numFmt w:val="decimal"/>
      <w:lvlText w:val="%1.%2"/>
      <w:lvlJc w:val="left"/>
      <w:pPr>
        <w:ind w:left="1008" w:hanging="360"/>
      </w:pPr>
      <w:rPr>
        <w:rFonts w:hint="default"/>
        <w:color w:val="000000"/>
      </w:rPr>
    </w:lvl>
    <w:lvl w:ilvl="2">
      <w:start w:val="1"/>
      <w:numFmt w:val="decimal"/>
      <w:lvlText w:val="%1.%2.%3"/>
      <w:lvlJc w:val="left"/>
      <w:pPr>
        <w:ind w:left="2016" w:hanging="720"/>
      </w:pPr>
      <w:rPr>
        <w:rFonts w:hint="default"/>
        <w:color w:val="000000"/>
      </w:rPr>
    </w:lvl>
    <w:lvl w:ilvl="3">
      <w:start w:val="1"/>
      <w:numFmt w:val="decimal"/>
      <w:lvlText w:val="%1.%2.%3.%4"/>
      <w:lvlJc w:val="left"/>
      <w:pPr>
        <w:ind w:left="2664" w:hanging="720"/>
      </w:pPr>
      <w:rPr>
        <w:rFonts w:hint="default"/>
        <w:color w:val="000000"/>
      </w:rPr>
    </w:lvl>
    <w:lvl w:ilvl="4">
      <w:start w:val="1"/>
      <w:numFmt w:val="decimal"/>
      <w:lvlText w:val="%1.%2.%3.%4.%5"/>
      <w:lvlJc w:val="left"/>
      <w:pPr>
        <w:ind w:left="3672" w:hanging="1080"/>
      </w:pPr>
      <w:rPr>
        <w:rFonts w:hint="default"/>
        <w:color w:val="000000"/>
      </w:rPr>
    </w:lvl>
    <w:lvl w:ilvl="5">
      <w:start w:val="1"/>
      <w:numFmt w:val="decimal"/>
      <w:lvlText w:val="%1.%2.%3.%4.%5.%6"/>
      <w:lvlJc w:val="left"/>
      <w:pPr>
        <w:ind w:left="4320" w:hanging="1080"/>
      </w:pPr>
      <w:rPr>
        <w:rFonts w:hint="default"/>
        <w:color w:val="000000"/>
      </w:rPr>
    </w:lvl>
    <w:lvl w:ilvl="6">
      <w:start w:val="1"/>
      <w:numFmt w:val="decimal"/>
      <w:lvlText w:val="%1.%2.%3.%4.%5.%6.%7"/>
      <w:lvlJc w:val="left"/>
      <w:pPr>
        <w:ind w:left="5328" w:hanging="1440"/>
      </w:pPr>
      <w:rPr>
        <w:rFonts w:hint="default"/>
        <w:color w:val="000000"/>
      </w:rPr>
    </w:lvl>
    <w:lvl w:ilvl="7">
      <w:start w:val="1"/>
      <w:numFmt w:val="decimal"/>
      <w:lvlText w:val="%1.%2.%3.%4.%5.%6.%7.%8"/>
      <w:lvlJc w:val="left"/>
      <w:pPr>
        <w:ind w:left="5976" w:hanging="1440"/>
      </w:pPr>
      <w:rPr>
        <w:rFonts w:hint="default"/>
        <w:color w:val="000000"/>
      </w:rPr>
    </w:lvl>
    <w:lvl w:ilvl="8">
      <w:start w:val="1"/>
      <w:numFmt w:val="decimal"/>
      <w:lvlText w:val="%1.%2.%3.%4.%5.%6.%7.%8.%9"/>
      <w:lvlJc w:val="left"/>
      <w:pPr>
        <w:ind w:left="6624" w:hanging="1440"/>
      </w:pPr>
      <w:rPr>
        <w:rFonts w:hint="default"/>
        <w:color w:val="000000"/>
      </w:rPr>
    </w:lvl>
  </w:abstractNum>
  <w:abstractNum w:abstractNumId="6" w15:restartNumberingAfterBreak="0">
    <w:nsid w:val="37643880"/>
    <w:multiLevelType w:val="hybridMultilevel"/>
    <w:tmpl w:val="82F0A5B2"/>
    <w:lvl w:ilvl="0" w:tplc="69EAC9BA">
      <w:start w:val="1"/>
      <w:numFmt w:val="bullet"/>
      <w:pStyle w:val="ListParagraph"/>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44412F5E"/>
    <w:multiLevelType w:val="multilevel"/>
    <w:tmpl w:val="A8987A04"/>
    <w:lvl w:ilvl="0">
      <w:start w:val="9"/>
      <w:numFmt w:val="decimal"/>
      <w:lvlText w:val="%1"/>
      <w:lvlJc w:val="left"/>
      <w:pPr>
        <w:ind w:left="360" w:hanging="360"/>
      </w:pPr>
      <w:rPr>
        <w:rFonts w:cs="Times New Roman" w:hint="default"/>
        <w:sz w:val="22"/>
      </w:rPr>
    </w:lvl>
    <w:lvl w:ilvl="1">
      <w:start w:val="1"/>
      <w:numFmt w:val="decimal"/>
      <w:lvlText w:val="%1.%2"/>
      <w:lvlJc w:val="left"/>
      <w:pPr>
        <w:ind w:left="720" w:hanging="360"/>
      </w:pPr>
      <w:rPr>
        <w:rFonts w:cs="Times New Roman" w:hint="default"/>
        <w:sz w:val="22"/>
      </w:rPr>
    </w:lvl>
    <w:lvl w:ilvl="2">
      <w:start w:val="1"/>
      <w:numFmt w:val="decimal"/>
      <w:lvlText w:val="%1.%2.%3"/>
      <w:lvlJc w:val="left"/>
      <w:pPr>
        <w:ind w:left="1440" w:hanging="720"/>
      </w:pPr>
      <w:rPr>
        <w:rFonts w:cs="Times New Roman" w:hint="default"/>
        <w:sz w:val="22"/>
      </w:rPr>
    </w:lvl>
    <w:lvl w:ilvl="3">
      <w:start w:val="1"/>
      <w:numFmt w:val="decimal"/>
      <w:lvlText w:val="%1.%2.%3.%4"/>
      <w:lvlJc w:val="left"/>
      <w:pPr>
        <w:ind w:left="1800" w:hanging="720"/>
      </w:pPr>
      <w:rPr>
        <w:rFonts w:cs="Times New Roman" w:hint="default"/>
        <w:sz w:val="22"/>
      </w:rPr>
    </w:lvl>
    <w:lvl w:ilvl="4">
      <w:start w:val="1"/>
      <w:numFmt w:val="decimal"/>
      <w:lvlText w:val="%1.%2.%3.%4.%5"/>
      <w:lvlJc w:val="left"/>
      <w:pPr>
        <w:ind w:left="2160" w:hanging="720"/>
      </w:pPr>
      <w:rPr>
        <w:rFonts w:cs="Times New Roman" w:hint="default"/>
        <w:sz w:val="22"/>
      </w:rPr>
    </w:lvl>
    <w:lvl w:ilvl="5">
      <w:start w:val="1"/>
      <w:numFmt w:val="decimal"/>
      <w:lvlText w:val="%1.%2.%3.%4.%5.%6"/>
      <w:lvlJc w:val="left"/>
      <w:pPr>
        <w:ind w:left="2880" w:hanging="1080"/>
      </w:pPr>
      <w:rPr>
        <w:rFonts w:cs="Times New Roman" w:hint="default"/>
        <w:sz w:val="22"/>
      </w:rPr>
    </w:lvl>
    <w:lvl w:ilvl="6">
      <w:start w:val="1"/>
      <w:numFmt w:val="decimal"/>
      <w:lvlText w:val="%1.%2.%3.%4.%5.%6.%7"/>
      <w:lvlJc w:val="left"/>
      <w:pPr>
        <w:ind w:left="3240" w:hanging="1080"/>
      </w:pPr>
      <w:rPr>
        <w:rFonts w:cs="Times New Roman" w:hint="default"/>
        <w:sz w:val="22"/>
      </w:rPr>
    </w:lvl>
    <w:lvl w:ilvl="7">
      <w:start w:val="1"/>
      <w:numFmt w:val="decimal"/>
      <w:lvlText w:val="%1.%2.%3.%4.%5.%6.%7.%8"/>
      <w:lvlJc w:val="left"/>
      <w:pPr>
        <w:ind w:left="3960" w:hanging="1440"/>
      </w:pPr>
      <w:rPr>
        <w:rFonts w:cs="Times New Roman" w:hint="default"/>
        <w:sz w:val="22"/>
      </w:rPr>
    </w:lvl>
    <w:lvl w:ilvl="8">
      <w:start w:val="1"/>
      <w:numFmt w:val="decimal"/>
      <w:lvlText w:val="%1.%2.%3.%4.%5.%6.%7.%8.%9"/>
      <w:lvlJc w:val="left"/>
      <w:pPr>
        <w:ind w:left="4320" w:hanging="1440"/>
      </w:pPr>
      <w:rPr>
        <w:rFonts w:cs="Times New Roman" w:hint="default"/>
        <w:sz w:val="22"/>
      </w:rPr>
    </w:lvl>
  </w:abstractNum>
  <w:abstractNum w:abstractNumId="8" w15:restartNumberingAfterBreak="0">
    <w:nsid w:val="446D4866"/>
    <w:multiLevelType w:val="multilevel"/>
    <w:tmpl w:val="5614C2E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5C83ABF"/>
    <w:multiLevelType w:val="multilevel"/>
    <w:tmpl w:val="E5523F3A"/>
    <w:lvl w:ilvl="0">
      <w:start w:val="5"/>
      <w:numFmt w:val="decimal"/>
      <w:lvlText w:val="%1"/>
      <w:lvlJc w:val="left"/>
      <w:pPr>
        <w:ind w:left="360" w:hanging="360"/>
      </w:pPr>
      <w:rPr>
        <w:rFonts w:cs="Arial" w:hint="default"/>
      </w:rPr>
    </w:lvl>
    <w:lvl w:ilvl="1">
      <w:start w:val="1"/>
      <w:numFmt w:val="decimal"/>
      <w:lvlText w:val="%1.%2"/>
      <w:lvlJc w:val="left"/>
      <w:pPr>
        <w:ind w:left="720" w:hanging="360"/>
      </w:pPr>
      <w:rPr>
        <w:rFonts w:cs="Arial" w:hint="default"/>
        <w:b w:val="0"/>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320" w:hanging="1440"/>
      </w:pPr>
      <w:rPr>
        <w:rFonts w:cs="Arial" w:hint="default"/>
      </w:rPr>
    </w:lvl>
  </w:abstractNum>
  <w:abstractNum w:abstractNumId="10" w15:restartNumberingAfterBreak="0">
    <w:nsid w:val="602F483D"/>
    <w:multiLevelType w:val="multilevel"/>
    <w:tmpl w:val="2A6CB67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E43493F"/>
    <w:multiLevelType w:val="multilevel"/>
    <w:tmpl w:val="5016F1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4AC3F22"/>
    <w:multiLevelType w:val="multilevel"/>
    <w:tmpl w:val="7C765B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CAD53BE"/>
    <w:multiLevelType w:val="multilevel"/>
    <w:tmpl w:val="E328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3"/>
  </w:num>
  <w:num w:numId="3">
    <w:abstractNumId w:val="4"/>
  </w:num>
  <w:num w:numId="4">
    <w:abstractNumId w:val="12"/>
  </w:num>
  <w:num w:numId="5">
    <w:abstractNumId w:val="2"/>
  </w:num>
  <w:num w:numId="6">
    <w:abstractNumId w:val="5"/>
  </w:num>
  <w:num w:numId="7">
    <w:abstractNumId w:val="0"/>
  </w:num>
  <w:num w:numId="8">
    <w:abstractNumId w:val="9"/>
  </w:num>
  <w:num w:numId="9">
    <w:abstractNumId w:val="1"/>
  </w:num>
  <w:num w:numId="10">
    <w:abstractNumId w:val="3"/>
  </w:num>
  <w:num w:numId="11">
    <w:abstractNumId w:val="8"/>
  </w:num>
  <w:num w:numId="12">
    <w:abstractNumId w:val="11"/>
  </w:num>
  <w:num w:numId="13">
    <w:abstractNumId w:val="7"/>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oNotTrackFormatting/>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11B"/>
    <w:rsid w:val="00000EF0"/>
    <w:rsid w:val="00002A22"/>
    <w:rsid w:val="00003A6D"/>
    <w:rsid w:val="0000524A"/>
    <w:rsid w:val="00006F4A"/>
    <w:rsid w:val="000133E2"/>
    <w:rsid w:val="00017B41"/>
    <w:rsid w:val="000205B7"/>
    <w:rsid w:val="00025EA2"/>
    <w:rsid w:val="000269F9"/>
    <w:rsid w:val="00031E5A"/>
    <w:rsid w:val="00031F00"/>
    <w:rsid w:val="0004133B"/>
    <w:rsid w:val="00042626"/>
    <w:rsid w:val="000476D0"/>
    <w:rsid w:val="00047D65"/>
    <w:rsid w:val="00052749"/>
    <w:rsid w:val="000619B0"/>
    <w:rsid w:val="0006771B"/>
    <w:rsid w:val="00071832"/>
    <w:rsid w:val="0007387F"/>
    <w:rsid w:val="00075F42"/>
    <w:rsid w:val="00076E26"/>
    <w:rsid w:val="00086942"/>
    <w:rsid w:val="00086CFF"/>
    <w:rsid w:val="0008762D"/>
    <w:rsid w:val="00093F2D"/>
    <w:rsid w:val="00097018"/>
    <w:rsid w:val="00097830"/>
    <w:rsid w:val="000A63ED"/>
    <w:rsid w:val="000B1143"/>
    <w:rsid w:val="000B7E0D"/>
    <w:rsid w:val="000C16F9"/>
    <w:rsid w:val="000C7079"/>
    <w:rsid w:val="000C7799"/>
    <w:rsid w:val="000D15D5"/>
    <w:rsid w:val="000F089C"/>
    <w:rsid w:val="000F2091"/>
    <w:rsid w:val="000F39D2"/>
    <w:rsid w:val="00100E70"/>
    <w:rsid w:val="00102DAE"/>
    <w:rsid w:val="001039E1"/>
    <w:rsid w:val="00104B36"/>
    <w:rsid w:val="00113D47"/>
    <w:rsid w:val="00117267"/>
    <w:rsid w:val="0011791D"/>
    <w:rsid w:val="00124040"/>
    <w:rsid w:val="00127422"/>
    <w:rsid w:val="001277EC"/>
    <w:rsid w:val="001316E2"/>
    <w:rsid w:val="00136A5E"/>
    <w:rsid w:val="00137F85"/>
    <w:rsid w:val="001467C3"/>
    <w:rsid w:val="0015047C"/>
    <w:rsid w:val="0015235F"/>
    <w:rsid w:val="00170EEF"/>
    <w:rsid w:val="0017216B"/>
    <w:rsid w:val="00176D58"/>
    <w:rsid w:val="0018333F"/>
    <w:rsid w:val="001841FB"/>
    <w:rsid w:val="001846F6"/>
    <w:rsid w:val="001847CC"/>
    <w:rsid w:val="001A0961"/>
    <w:rsid w:val="001A0F55"/>
    <w:rsid w:val="001A3148"/>
    <w:rsid w:val="001A3B08"/>
    <w:rsid w:val="001A7637"/>
    <w:rsid w:val="001B1EA4"/>
    <w:rsid w:val="001C1143"/>
    <w:rsid w:val="001C18FD"/>
    <w:rsid w:val="001C1F66"/>
    <w:rsid w:val="001C2E3E"/>
    <w:rsid w:val="001C3279"/>
    <w:rsid w:val="001C6497"/>
    <w:rsid w:val="001C6998"/>
    <w:rsid w:val="001C79E8"/>
    <w:rsid w:val="001D3ECA"/>
    <w:rsid w:val="001D5F61"/>
    <w:rsid w:val="001D7843"/>
    <w:rsid w:val="001E7981"/>
    <w:rsid w:val="001F258D"/>
    <w:rsid w:val="001F3119"/>
    <w:rsid w:val="001F3238"/>
    <w:rsid w:val="001F41E2"/>
    <w:rsid w:val="001F4E9F"/>
    <w:rsid w:val="001F5ADF"/>
    <w:rsid w:val="001F7559"/>
    <w:rsid w:val="00200CB6"/>
    <w:rsid w:val="00201F0D"/>
    <w:rsid w:val="00202F8D"/>
    <w:rsid w:val="00203AB7"/>
    <w:rsid w:val="0021007E"/>
    <w:rsid w:val="00210317"/>
    <w:rsid w:val="002120E6"/>
    <w:rsid w:val="002150E9"/>
    <w:rsid w:val="00217366"/>
    <w:rsid w:val="00220AE0"/>
    <w:rsid w:val="00221B9A"/>
    <w:rsid w:val="00224925"/>
    <w:rsid w:val="00225B5A"/>
    <w:rsid w:val="00231773"/>
    <w:rsid w:val="0023182E"/>
    <w:rsid w:val="002322B3"/>
    <w:rsid w:val="002327BA"/>
    <w:rsid w:val="0023302F"/>
    <w:rsid w:val="00236249"/>
    <w:rsid w:val="00237CA6"/>
    <w:rsid w:val="00242215"/>
    <w:rsid w:val="00243D1E"/>
    <w:rsid w:val="00244A9D"/>
    <w:rsid w:val="002502EE"/>
    <w:rsid w:val="002510E8"/>
    <w:rsid w:val="00262307"/>
    <w:rsid w:val="00265F51"/>
    <w:rsid w:val="00270CFD"/>
    <w:rsid w:val="002740EF"/>
    <w:rsid w:val="002745B8"/>
    <w:rsid w:val="0028127C"/>
    <w:rsid w:val="00282C9E"/>
    <w:rsid w:val="00283316"/>
    <w:rsid w:val="002849D7"/>
    <w:rsid w:val="002855F5"/>
    <w:rsid w:val="00287AA9"/>
    <w:rsid w:val="00296B50"/>
    <w:rsid w:val="002A6D4F"/>
    <w:rsid w:val="002C23E3"/>
    <w:rsid w:val="002C46CF"/>
    <w:rsid w:val="002D1098"/>
    <w:rsid w:val="002D2B92"/>
    <w:rsid w:val="002D4B50"/>
    <w:rsid w:val="002D5187"/>
    <w:rsid w:val="002E1B2B"/>
    <w:rsid w:val="002E503E"/>
    <w:rsid w:val="002E53EF"/>
    <w:rsid w:val="002F201F"/>
    <w:rsid w:val="002F31CD"/>
    <w:rsid w:val="002F6362"/>
    <w:rsid w:val="002F74FA"/>
    <w:rsid w:val="00302426"/>
    <w:rsid w:val="00314C09"/>
    <w:rsid w:val="00321FFF"/>
    <w:rsid w:val="0032311B"/>
    <w:rsid w:val="00335B4C"/>
    <w:rsid w:val="00340BC1"/>
    <w:rsid w:val="00342EB0"/>
    <w:rsid w:val="00346E79"/>
    <w:rsid w:val="00347743"/>
    <w:rsid w:val="00355449"/>
    <w:rsid w:val="00361DD0"/>
    <w:rsid w:val="003622D9"/>
    <w:rsid w:val="00365474"/>
    <w:rsid w:val="003661F2"/>
    <w:rsid w:val="003677F8"/>
    <w:rsid w:val="00367A07"/>
    <w:rsid w:val="00380533"/>
    <w:rsid w:val="003835F0"/>
    <w:rsid w:val="00383EF2"/>
    <w:rsid w:val="0038588C"/>
    <w:rsid w:val="00385A40"/>
    <w:rsid w:val="00390D36"/>
    <w:rsid w:val="003917A7"/>
    <w:rsid w:val="00393694"/>
    <w:rsid w:val="00395A99"/>
    <w:rsid w:val="003A18C5"/>
    <w:rsid w:val="003A5C34"/>
    <w:rsid w:val="003A5FD5"/>
    <w:rsid w:val="003B5561"/>
    <w:rsid w:val="003B57CC"/>
    <w:rsid w:val="003C0355"/>
    <w:rsid w:val="003D2892"/>
    <w:rsid w:val="003D609D"/>
    <w:rsid w:val="003E66EF"/>
    <w:rsid w:val="003F2741"/>
    <w:rsid w:val="003F4A09"/>
    <w:rsid w:val="003F5F31"/>
    <w:rsid w:val="00404976"/>
    <w:rsid w:val="00405213"/>
    <w:rsid w:val="0040593C"/>
    <w:rsid w:val="00411C0C"/>
    <w:rsid w:val="00413040"/>
    <w:rsid w:val="00413186"/>
    <w:rsid w:val="00415C42"/>
    <w:rsid w:val="00416432"/>
    <w:rsid w:val="00417FB9"/>
    <w:rsid w:val="0042277C"/>
    <w:rsid w:val="0042564E"/>
    <w:rsid w:val="004311D4"/>
    <w:rsid w:val="00433246"/>
    <w:rsid w:val="00433808"/>
    <w:rsid w:val="0043394B"/>
    <w:rsid w:val="00447FB4"/>
    <w:rsid w:val="00451039"/>
    <w:rsid w:val="0045509F"/>
    <w:rsid w:val="00463FB7"/>
    <w:rsid w:val="00466C7E"/>
    <w:rsid w:val="00473943"/>
    <w:rsid w:val="00474A90"/>
    <w:rsid w:val="00480932"/>
    <w:rsid w:val="00480C1A"/>
    <w:rsid w:val="00482240"/>
    <w:rsid w:val="00482AD9"/>
    <w:rsid w:val="00484B45"/>
    <w:rsid w:val="0049008C"/>
    <w:rsid w:val="004979FF"/>
    <w:rsid w:val="004C2C80"/>
    <w:rsid w:val="004C43DE"/>
    <w:rsid w:val="004D5823"/>
    <w:rsid w:val="004D7049"/>
    <w:rsid w:val="004E0EED"/>
    <w:rsid w:val="004E6296"/>
    <w:rsid w:val="004F386F"/>
    <w:rsid w:val="004F457B"/>
    <w:rsid w:val="0050104A"/>
    <w:rsid w:val="0050184A"/>
    <w:rsid w:val="00503899"/>
    <w:rsid w:val="00512024"/>
    <w:rsid w:val="005140D4"/>
    <w:rsid w:val="00516005"/>
    <w:rsid w:val="00516536"/>
    <w:rsid w:val="00520F58"/>
    <w:rsid w:val="00523C23"/>
    <w:rsid w:val="00523F1B"/>
    <w:rsid w:val="00524DA7"/>
    <w:rsid w:val="0053074C"/>
    <w:rsid w:val="00531E51"/>
    <w:rsid w:val="005364CE"/>
    <w:rsid w:val="005439E1"/>
    <w:rsid w:val="00544613"/>
    <w:rsid w:val="00551462"/>
    <w:rsid w:val="005600CE"/>
    <w:rsid w:val="00560677"/>
    <w:rsid w:val="005732FE"/>
    <w:rsid w:val="00573EAE"/>
    <w:rsid w:val="00577FF4"/>
    <w:rsid w:val="005803BD"/>
    <w:rsid w:val="0058065A"/>
    <w:rsid w:val="0058137A"/>
    <w:rsid w:val="005833C9"/>
    <w:rsid w:val="00590599"/>
    <w:rsid w:val="005A1056"/>
    <w:rsid w:val="005B0A09"/>
    <w:rsid w:val="005C53DF"/>
    <w:rsid w:val="005D330B"/>
    <w:rsid w:val="005E5F84"/>
    <w:rsid w:val="005E7505"/>
    <w:rsid w:val="005F01DD"/>
    <w:rsid w:val="005F1670"/>
    <w:rsid w:val="005F226D"/>
    <w:rsid w:val="005F499D"/>
    <w:rsid w:val="005F6608"/>
    <w:rsid w:val="00600CE2"/>
    <w:rsid w:val="00601404"/>
    <w:rsid w:val="006033C8"/>
    <w:rsid w:val="00606E16"/>
    <w:rsid w:val="0061099D"/>
    <w:rsid w:val="00620506"/>
    <w:rsid w:val="00626AD3"/>
    <w:rsid w:val="0062725A"/>
    <w:rsid w:val="00641ED4"/>
    <w:rsid w:val="0064246C"/>
    <w:rsid w:val="0064354E"/>
    <w:rsid w:val="006452E4"/>
    <w:rsid w:val="00652C81"/>
    <w:rsid w:val="0066630F"/>
    <w:rsid w:val="006704C2"/>
    <w:rsid w:val="0067174F"/>
    <w:rsid w:val="00675E7A"/>
    <w:rsid w:val="00677170"/>
    <w:rsid w:val="00680605"/>
    <w:rsid w:val="00682C52"/>
    <w:rsid w:val="00686100"/>
    <w:rsid w:val="0069454E"/>
    <w:rsid w:val="006A13FF"/>
    <w:rsid w:val="006A1798"/>
    <w:rsid w:val="006A31A8"/>
    <w:rsid w:val="006A5011"/>
    <w:rsid w:val="006B7EAF"/>
    <w:rsid w:val="006C6059"/>
    <w:rsid w:val="006D5285"/>
    <w:rsid w:val="006E15ED"/>
    <w:rsid w:val="006E60FD"/>
    <w:rsid w:val="006E7837"/>
    <w:rsid w:val="006F1EFF"/>
    <w:rsid w:val="00702A56"/>
    <w:rsid w:val="00717A3C"/>
    <w:rsid w:val="00720FE7"/>
    <w:rsid w:val="00725899"/>
    <w:rsid w:val="0073451D"/>
    <w:rsid w:val="00740A67"/>
    <w:rsid w:val="00743A0B"/>
    <w:rsid w:val="00745864"/>
    <w:rsid w:val="0074599E"/>
    <w:rsid w:val="00746260"/>
    <w:rsid w:val="00754C4F"/>
    <w:rsid w:val="007602A9"/>
    <w:rsid w:val="007734B4"/>
    <w:rsid w:val="00775B45"/>
    <w:rsid w:val="00776015"/>
    <w:rsid w:val="00776D99"/>
    <w:rsid w:val="00777B71"/>
    <w:rsid w:val="00785BD2"/>
    <w:rsid w:val="0079061B"/>
    <w:rsid w:val="00795969"/>
    <w:rsid w:val="00797372"/>
    <w:rsid w:val="007A057E"/>
    <w:rsid w:val="007B0420"/>
    <w:rsid w:val="007B500B"/>
    <w:rsid w:val="007B6B61"/>
    <w:rsid w:val="007C3374"/>
    <w:rsid w:val="007C57E8"/>
    <w:rsid w:val="007C6B4B"/>
    <w:rsid w:val="007E1EAE"/>
    <w:rsid w:val="007F061C"/>
    <w:rsid w:val="007F4185"/>
    <w:rsid w:val="007F7AA2"/>
    <w:rsid w:val="00801D9C"/>
    <w:rsid w:val="0080344A"/>
    <w:rsid w:val="00803576"/>
    <w:rsid w:val="008052A0"/>
    <w:rsid w:val="00807C07"/>
    <w:rsid w:val="0081302A"/>
    <w:rsid w:val="00814727"/>
    <w:rsid w:val="00824F10"/>
    <w:rsid w:val="00827F47"/>
    <w:rsid w:val="008414F5"/>
    <w:rsid w:val="00841608"/>
    <w:rsid w:val="00844D6F"/>
    <w:rsid w:val="0085686C"/>
    <w:rsid w:val="00857C83"/>
    <w:rsid w:val="00864D4A"/>
    <w:rsid w:val="00865A6F"/>
    <w:rsid w:val="008711E7"/>
    <w:rsid w:val="0087190C"/>
    <w:rsid w:val="008739E3"/>
    <w:rsid w:val="00873E3D"/>
    <w:rsid w:val="00875FAC"/>
    <w:rsid w:val="008813B9"/>
    <w:rsid w:val="00887445"/>
    <w:rsid w:val="008902BA"/>
    <w:rsid w:val="0089292E"/>
    <w:rsid w:val="008949C1"/>
    <w:rsid w:val="008A1046"/>
    <w:rsid w:val="008C2F96"/>
    <w:rsid w:val="008C5198"/>
    <w:rsid w:val="008C79EF"/>
    <w:rsid w:val="008D342E"/>
    <w:rsid w:val="008E28F2"/>
    <w:rsid w:val="008E2AEA"/>
    <w:rsid w:val="008E2C2E"/>
    <w:rsid w:val="008E4C73"/>
    <w:rsid w:val="008E6EA3"/>
    <w:rsid w:val="008F4286"/>
    <w:rsid w:val="008F5F33"/>
    <w:rsid w:val="008F61B4"/>
    <w:rsid w:val="00900A89"/>
    <w:rsid w:val="00900B04"/>
    <w:rsid w:val="0090686D"/>
    <w:rsid w:val="009111D3"/>
    <w:rsid w:val="009112ED"/>
    <w:rsid w:val="0091508A"/>
    <w:rsid w:val="00915185"/>
    <w:rsid w:val="00915206"/>
    <w:rsid w:val="00922281"/>
    <w:rsid w:val="00925C27"/>
    <w:rsid w:val="00927639"/>
    <w:rsid w:val="00933A84"/>
    <w:rsid w:val="00940DBD"/>
    <w:rsid w:val="0094111E"/>
    <w:rsid w:val="0094337F"/>
    <w:rsid w:val="00944D7A"/>
    <w:rsid w:val="0095122E"/>
    <w:rsid w:val="00953879"/>
    <w:rsid w:val="0095711B"/>
    <w:rsid w:val="00963DEC"/>
    <w:rsid w:val="0097083B"/>
    <w:rsid w:val="009770F4"/>
    <w:rsid w:val="00985AD4"/>
    <w:rsid w:val="0098630C"/>
    <w:rsid w:val="00991FBE"/>
    <w:rsid w:val="009A0697"/>
    <w:rsid w:val="009A0AD0"/>
    <w:rsid w:val="009A476C"/>
    <w:rsid w:val="009B35A9"/>
    <w:rsid w:val="009C5C06"/>
    <w:rsid w:val="009D09A3"/>
    <w:rsid w:val="009D42C1"/>
    <w:rsid w:val="009D5E18"/>
    <w:rsid w:val="009E1130"/>
    <w:rsid w:val="009E4AFA"/>
    <w:rsid w:val="009F33DC"/>
    <w:rsid w:val="009F33FF"/>
    <w:rsid w:val="009F3CA2"/>
    <w:rsid w:val="009F4AF2"/>
    <w:rsid w:val="009F5304"/>
    <w:rsid w:val="009F769B"/>
    <w:rsid w:val="00A00203"/>
    <w:rsid w:val="00A0432E"/>
    <w:rsid w:val="00A05B15"/>
    <w:rsid w:val="00A067E6"/>
    <w:rsid w:val="00A10CD5"/>
    <w:rsid w:val="00A12C27"/>
    <w:rsid w:val="00A139E6"/>
    <w:rsid w:val="00A13AA0"/>
    <w:rsid w:val="00A13EE1"/>
    <w:rsid w:val="00A20379"/>
    <w:rsid w:val="00A2474F"/>
    <w:rsid w:val="00A352A9"/>
    <w:rsid w:val="00A357F7"/>
    <w:rsid w:val="00A37C9C"/>
    <w:rsid w:val="00A40BAE"/>
    <w:rsid w:val="00A414B9"/>
    <w:rsid w:val="00A41EB2"/>
    <w:rsid w:val="00A41F1F"/>
    <w:rsid w:val="00A41FF7"/>
    <w:rsid w:val="00A5592D"/>
    <w:rsid w:val="00A57185"/>
    <w:rsid w:val="00A64454"/>
    <w:rsid w:val="00A71313"/>
    <w:rsid w:val="00A80EB0"/>
    <w:rsid w:val="00A876E7"/>
    <w:rsid w:val="00A90E14"/>
    <w:rsid w:val="00A9105D"/>
    <w:rsid w:val="00A91613"/>
    <w:rsid w:val="00A9456C"/>
    <w:rsid w:val="00A9761C"/>
    <w:rsid w:val="00AA6004"/>
    <w:rsid w:val="00AB03E4"/>
    <w:rsid w:val="00AB5DD5"/>
    <w:rsid w:val="00AC081B"/>
    <w:rsid w:val="00AC1F66"/>
    <w:rsid w:val="00AC325B"/>
    <w:rsid w:val="00AC325E"/>
    <w:rsid w:val="00AD3653"/>
    <w:rsid w:val="00AD4065"/>
    <w:rsid w:val="00AD6A7F"/>
    <w:rsid w:val="00AE5227"/>
    <w:rsid w:val="00AF232A"/>
    <w:rsid w:val="00AF2F55"/>
    <w:rsid w:val="00AF4ED4"/>
    <w:rsid w:val="00AF52C6"/>
    <w:rsid w:val="00AF5AE4"/>
    <w:rsid w:val="00AF5C75"/>
    <w:rsid w:val="00AF74AC"/>
    <w:rsid w:val="00B05D96"/>
    <w:rsid w:val="00B13125"/>
    <w:rsid w:val="00B16DF2"/>
    <w:rsid w:val="00B16E2D"/>
    <w:rsid w:val="00B1724A"/>
    <w:rsid w:val="00B2139D"/>
    <w:rsid w:val="00B22A75"/>
    <w:rsid w:val="00B25B56"/>
    <w:rsid w:val="00B2720E"/>
    <w:rsid w:val="00B307EC"/>
    <w:rsid w:val="00B33130"/>
    <w:rsid w:val="00B347ED"/>
    <w:rsid w:val="00B349EB"/>
    <w:rsid w:val="00B3502B"/>
    <w:rsid w:val="00B4575B"/>
    <w:rsid w:val="00B50AC9"/>
    <w:rsid w:val="00B51972"/>
    <w:rsid w:val="00B51B58"/>
    <w:rsid w:val="00B53B6A"/>
    <w:rsid w:val="00B56990"/>
    <w:rsid w:val="00B56CDC"/>
    <w:rsid w:val="00B60F5B"/>
    <w:rsid w:val="00B647AE"/>
    <w:rsid w:val="00B82358"/>
    <w:rsid w:val="00B86E6E"/>
    <w:rsid w:val="00B9114F"/>
    <w:rsid w:val="00B94461"/>
    <w:rsid w:val="00B955BB"/>
    <w:rsid w:val="00BB270B"/>
    <w:rsid w:val="00BB2778"/>
    <w:rsid w:val="00BB612A"/>
    <w:rsid w:val="00BC6317"/>
    <w:rsid w:val="00BE18C7"/>
    <w:rsid w:val="00BE41AE"/>
    <w:rsid w:val="00BE4344"/>
    <w:rsid w:val="00BF11F8"/>
    <w:rsid w:val="00BF2B1B"/>
    <w:rsid w:val="00BF6EBB"/>
    <w:rsid w:val="00C02FE9"/>
    <w:rsid w:val="00C13D3B"/>
    <w:rsid w:val="00C14833"/>
    <w:rsid w:val="00C159BB"/>
    <w:rsid w:val="00C162E2"/>
    <w:rsid w:val="00C2084F"/>
    <w:rsid w:val="00C26997"/>
    <w:rsid w:val="00C3492D"/>
    <w:rsid w:val="00C34A1D"/>
    <w:rsid w:val="00C36750"/>
    <w:rsid w:val="00C3771A"/>
    <w:rsid w:val="00C418F2"/>
    <w:rsid w:val="00C41913"/>
    <w:rsid w:val="00C424AC"/>
    <w:rsid w:val="00C43A2D"/>
    <w:rsid w:val="00C43E24"/>
    <w:rsid w:val="00C46516"/>
    <w:rsid w:val="00C50F4B"/>
    <w:rsid w:val="00C5184A"/>
    <w:rsid w:val="00C5730B"/>
    <w:rsid w:val="00C630D5"/>
    <w:rsid w:val="00C675DB"/>
    <w:rsid w:val="00C702C9"/>
    <w:rsid w:val="00C70F5A"/>
    <w:rsid w:val="00C760B0"/>
    <w:rsid w:val="00C823E4"/>
    <w:rsid w:val="00C8493F"/>
    <w:rsid w:val="00C86034"/>
    <w:rsid w:val="00C86282"/>
    <w:rsid w:val="00C9367A"/>
    <w:rsid w:val="00C93CF3"/>
    <w:rsid w:val="00C94E85"/>
    <w:rsid w:val="00CB76B9"/>
    <w:rsid w:val="00CC2587"/>
    <w:rsid w:val="00CC716E"/>
    <w:rsid w:val="00CC73EA"/>
    <w:rsid w:val="00CD109E"/>
    <w:rsid w:val="00CD52EF"/>
    <w:rsid w:val="00CE0643"/>
    <w:rsid w:val="00CE1556"/>
    <w:rsid w:val="00D04623"/>
    <w:rsid w:val="00D07834"/>
    <w:rsid w:val="00D07EB4"/>
    <w:rsid w:val="00D15A29"/>
    <w:rsid w:val="00D2491C"/>
    <w:rsid w:val="00D32187"/>
    <w:rsid w:val="00D359A9"/>
    <w:rsid w:val="00D36A95"/>
    <w:rsid w:val="00D42EB4"/>
    <w:rsid w:val="00D537EF"/>
    <w:rsid w:val="00D554AE"/>
    <w:rsid w:val="00D55EA9"/>
    <w:rsid w:val="00D6073D"/>
    <w:rsid w:val="00D65EAD"/>
    <w:rsid w:val="00D70700"/>
    <w:rsid w:val="00D707BB"/>
    <w:rsid w:val="00D74B0D"/>
    <w:rsid w:val="00D76855"/>
    <w:rsid w:val="00D7734F"/>
    <w:rsid w:val="00D83827"/>
    <w:rsid w:val="00D85512"/>
    <w:rsid w:val="00D85A48"/>
    <w:rsid w:val="00D93016"/>
    <w:rsid w:val="00D95606"/>
    <w:rsid w:val="00D96852"/>
    <w:rsid w:val="00D97FAD"/>
    <w:rsid w:val="00DA0911"/>
    <w:rsid w:val="00DA2C6A"/>
    <w:rsid w:val="00DB7F42"/>
    <w:rsid w:val="00DC16F5"/>
    <w:rsid w:val="00DC1E68"/>
    <w:rsid w:val="00DC3031"/>
    <w:rsid w:val="00DC30A2"/>
    <w:rsid w:val="00DC3B42"/>
    <w:rsid w:val="00DC4049"/>
    <w:rsid w:val="00DC4C5B"/>
    <w:rsid w:val="00DD0441"/>
    <w:rsid w:val="00DD17FF"/>
    <w:rsid w:val="00DD25C8"/>
    <w:rsid w:val="00DD6E9A"/>
    <w:rsid w:val="00DE5635"/>
    <w:rsid w:val="00DF0690"/>
    <w:rsid w:val="00DF475D"/>
    <w:rsid w:val="00DF63BA"/>
    <w:rsid w:val="00DF72A9"/>
    <w:rsid w:val="00E16E8E"/>
    <w:rsid w:val="00E20EBD"/>
    <w:rsid w:val="00E22E03"/>
    <w:rsid w:val="00E30501"/>
    <w:rsid w:val="00E3168D"/>
    <w:rsid w:val="00E33333"/>
    <w:rsid w:val="00E37705"/>
    <w:rsid w:val="00E462F5"/>
    <w:rsid w:val="00E46526"/>
    <w:rsid w:val="00E46680"/>
    <w:rsid w:val="00E47EEA"/>
    <w:rsid w:val="00E51F59"/>
    <w:rsid w:val="00E52408"/>
    <w:rsid w:val="00E5259A"/>
    <w:rsid w:val="00E56FE5"/>
    <w:rsid w:val="00E635F9"/>
    <w:rsid w:val="00E65098"/>
    <w:rsid w:val="00E6675A"/>
    <w:rsid w:val="00E675C7"/>
    <w:rsid w:val="00E7005A"/>
    <w:rsid w:val="00E71DAB"/>
    <w:rsid w:val="00E71FCB"/>
    <w:rsid w:val="00E729B2"/>
    <w:rsid w:val="00E75CB3"/>
    <w:rsid w:val="00E815BF"/>
    <w:rsid w:val="00E81B75"/>
    <w:rsid w:val="00E836F9"/>
    <w:rsid w:val="00E870EF"/>
    <w:rsid w:val="00E87CEE"/>
    <w:rsid w:val="00E905A1"/>
    <w:rsid w:val="00E9675C"/>
    <w:rsid w:val="00EA0D37"/>
    <w:rsid w:val="00EA170B"/>
    <w:rsid w:val="00EA3919"/>
    <w:rsid w:val="00EA444C"/>
    <w:rsid w:val="00EA55EC"/>
    <w:rsid w:val="00EA66F4"/>
    <w:rsid w:val="00EB1AA8"/>
    <w:rsid w:val="00EB435F"/>
    <w:rsid w:val="00EB5845"/>
    <w:rsid w:val="00EB60A3"/>
    <w:rsid w:val="00EB63B9"/>
    <w:rsid w:val="00EC1564"/>
    <w:rsid w:val="00EC4075"/>
    <w:rsid w:val="00ED016F"/>
    <w:rsid w:val="00ED7014"/>
    <w:rsid w:val="00ED70D1"/>
    <w:rsid w:val="00EE0122"/>
    <w:rsid w:val="00EE0BEB"/>
    <w:rsid w:val="00EF14B0"/>
    <w:rsid w:val="00EF1E17"/>
    <w:rsid w:val="00EF41CE"/>
    <w:rsid w:val="00EF7FCA"/>
    <w:rsid w:val="00F00960"/>
    <w:rsid w:val="00F017D1"/>
    <w:rsid w:val="00F13C23"/>
    <w:rsid w:val="00F16677"/>
    <w:rsid w:val="00F311D1"/>
    <w:rsid w:val="00F373D0"/>
    <w:rsid w:val="00F455F8"/>
    <w:rsid w:val="00F50742"/>
    <w:rsid w:val="00F571CD"/>
    <w:rsid w:val="00F614F2"/>
    <w:rsid w:val="00F6363D"/>
    <w:rsid w:val="00F657FE"/>
    <w:rsid w:val="00F72899"/>
    <w:rsid w:val="00F76C77"/>
    <w:rsid w:val="00F803D0"/>
    <w:rsid w:val="00F83885"/>
    <w:rsid w:val="00F92668"/>
    <w:rsid w:val="00F96929"/>
    <w:rsid w:val="00F9772E"/>
    <w:rsid w:val="00FA79CD"/>
    <w:rsid w:val="00FB0093"/>
    <w:rsid w:val="00FB2BB3"/>
    <w:rsid w:val="00FB32E6"/>
    <w:rsid w:val="00FC5772"/>
    <w:rsid w:val="00FC73F0"/>
    <w:rsid w:val="00FE1499"/>
    <w:rsid w:val="00FE6AB3"/>
    <w:rsid w:val="00FF33CB"/>
    <w:rsid w:val="00FF4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1B55B34-0189-4245-B1D9-897092DD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5B8"/>
    <w:pPr>
      <w:spacing w:after="0" w:line="240" w:lineRule="auto"/>
      <w:jc w:val="both"/>
    </w:pPr>
    <w:rPr>
      <w:rFonts w:ascii="Times New Roman" w:hAnsi="Times New Roman"/>
      <w:sz w:val="20"/>
      <w:lang w:val="es-ES_tradnl"/>
    </w:rPr>
  </w:style>
  <w:style w:type="paragraph" w:styleId="Heading1">
    <w:name w:val="heading 1"/>
    <w:basedOn w:val="Normal"/>
    <w:next w:val="Normal"/>
    <w:link w:val="Heading1Char"/>
    <w:uiPriority w:val="9"/>
    <w:qFormat/>
    <w:rsid w:val="009B35A9"/>
    <w:pPr>
      <w:keepNext/>
      <w:keepLines/>
      <w:spacing w:before="240" w:after="120"/>
      <w:jc w:val="center"/>
      <w:outlineLvl w:val="0"/>
    </w:pPr>
    <w:rPr>
      <w:rFonts w:ascii="Times New Roman Bold" w:eastAsiaTheme="majorEastAsia" w:hAnsi="Times New Roman Bold" w:cstheme="majorBidi"/>
      <w:b/>
      <w:bCs/>
      <w:small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DD25C8"/>
    <w:pPr>
      <w:numPr>
        <w:numId w:val="1"/>
      </w:numPr>
      <w:spacing w:before="120" w:after="120"/>
      <w:contextualSpacing/>
    </w:pPr>
  </w:style>
  <w:style w:type="paragraph" w:styleId="Header">
    <w:name w:val="header"/>
    <w:basedOn w:val="Normal"/>
    <w:link w:val="HeaderChar"/>
    <w:uiPriority w:val="99"/>
    <w:unhideWhenUsed/>
    <w:rsid w:val="0095711B"/>
    <w:pPr>
      <w:tabs>
        <w:tab w:val="center" w:pos="4680"/>
        <w:tab w:val="right" w:pos="9360"/>
      </w:tabs>
    </w:pPr>
  </w:style>
  <w:style w:type="character" w:customStyle="1" w:styleId="HeaderChar">
    <w:name w:val="Header Char"/>
    <w:basedOn w:val="DefaultParagraphFont"/>
    <w:link w:val="Header"/>
    <w:uiPriority w:val="99"/>
    <w:rsid w:val="0095711B"/>
  </w:style>
  <w:style w:type="paragraph" w:styleId="Footer">
    <w:name w:val="footer"/>
    <w:basedOn w:val="Normal"/>
    <w:link w:val="FooterChar"/>
    <w:uiPriority w:val="99"/>
    <w:unhideWhenUsed/>
    <w:rsid w:val="0095711B"/>
    <w:pPr>
      <w:tabs>
        <w:tab w:val="center" w:pos="4680"/>
        <w:tab w:val="right" w:pos="9360"/>
      </w:tabs>
    </w:pPr>
  </w:style>
  <w:style w:type="character" w:customStyle="1" w:styleId="FooterChar">
    <w:name w:val="Footer Char"/>
    <w:basedOn w:val="DefaultParagraphFont"/>
    <w:link w:val="Footer"/>
    <w:uiPriority w:val="99"/>
    <w:rsid w:val="0095711B"/>
  </w:style>
  <w:style w:type="paragraph" w:styleId="BalloonText">
    <w:name w:val="Balloon Text"/>
    <w:basedOn w:val="Normal"/>
    <w:link w:val="BalloonTextChar"/>
    <w:uiPriority w:val="99"/>
    <w:semiHidden/>
    <w:unhideWhenUsed/>
    <w:rsid w:val="00A10CD5"/>
    <w:rPr>
      <w:rFonts w:ascii="Tahoma" w:hAnsi="Tahoma" w:cs="Tahoma"/>
      <w:sz w:val="16"/>
      <w:szCs w:val="16"/>
    </w:rPr>
  </w:style>
  <w:style w:type="character" w:customStyle="1" w:styleId="BalloonTextChar">
    <w:name w:val="Balloon Text Char"/>
    <w:basedOn w:val="DefaultParagraphFont"/>
    <w:link w:val="BalloonText"/>
    <w:uiPriority w:val="99"/>
    <w:semiHidden/>
    <w:rsid w:val="00A10CD5"/>
    <w:rPr>
      <w:rFonts w:ascii="Tahoma" w:hAnsi="Tahoma" w:cs="Tahoma"/>
      <w:sz w:val="16"/>
      <w:szCs w:val="16"/>
    </w:rPr>
  </w:style>
  <w:style w:type="character" w:styleId="CommentReference">
    <w:name w:val="annotation reference"/>
    <w:basedOn w:val="DefaultParagraphFont"/>
    <w:uiPriority w:val="99"/>
    <w:semiHidden/>
    <w:unhideWhenUsed/>
    <w:rsid w:val="00A13EE1"/>
    <w:rPr>
      <w:sz w:val="16"/>
      <w:szCs w:val="16"/>
    </w:rPr>
  </w:style>
  <w:style w:type="paragraph" w:styleId="CommentText">
    <w:name w:val="annotation text"/>
    <w:basedOn w:val="Normal"/>
    <w:link w:val="CommentTextChar"/>
    <w:uiPriority w:val="99"/>
    <w:semiHidden/>
    <w:unhideWhenUsed/>
    <w:rsid w:val="00A13EE1"/>
    <w:rPr>
      <w:szCs w:val="20"/>
    </w:rPr>
  </w:style>
  <w:style w:type="character" w:customStyle="1" w:styleId="CommentTextChar">
    <w:name w:val="Comment Text Char"/>
    <w:basedOn w:val="DefaultParagraphFont"/>
    <w:link w:val="CommentText"/>
    <w:uiPriority w:val="99"/>
    <w:semiHidden/>
    <w:rsid w:val="00A13EE1"/>
    <w:rPr>
      <w:sz w:val="20"/>
      <w:szCs w:val="20"/>
    </w:rPr>
  </w:style>
  <w:style w:type="paragraph" w:styleId="CommentSubject">
    <w:name w:val="annotation subject"/>
    <w:basedOn w:val="CommentText"/>
    <w:next w:val="CommentText"/>
    <w:link w:val="CommentSubjectChar"/>
    <w:uiPriority w:val="99"/>
    <w:semiHidden/>
    <w:unhideWhenUsed/>
    <w:rsid w:val="00A13EE1"/>
    <w:rPr>
      <w:b/>
      <w:bCs/>
    </w:rPr>
  </w:style>
  <w:style w:type="character" w:customStyle="1" w:styleId="CommentSubjectChar">
    <w:name w:val="Comment Subject Char"/>
    <w:basedOn w:val="CommentTextChar"/>
    <w:link w:val="CommentSubject"/>
    <w:uiPriority w:val="99"/>
    <w:semiHidden/>
    <w:rsid w:val="00A13EE1"/>
    <w:rPr>
      <w:b/>
      <w:bCs/>
      <w:sz w:val="20"/>
      <w:szCs w:val="20"/>
    </w:rPr>
  </w:style>
  <w:style w:type="paragraph" w:styleId="Revision">
    <w:name w:val="Revision"/>
    <w:hidden/>
    <w:uiPriority w:val="99"/>
    <w:semiHidden/>
    <w:rsid w:val="00A13EE1"/>
    <w:pPr>
      <w:spacing w:after="0" w:line="240" w:lineRule="auto"/>
    </w:pPr>
  </w:style>
  <w:style w:type="table" w:styleId="TableGrid">
    <w:name w:val="Table Grid"/>
    <w:basedOn w:val="TableNormal"/>
    <w:uiPriority w:val="59"/>
    <w:rsid w:val="00F6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3182E"/>
  </w:style>
  <w:style w:type="character" w:customStyle="1" w:styleId="ListParagraphChar">
    <w:name w:val="List Paragraph Char"/>
    <w:basedOn w:val="DefaultParagraphFont"/>
    <w:link w:val="ListParagraph"/>
    <w:uiPriority w:val="99"/>
    <w:qFormat/>
    <w:rsid w:val="00DD25C8"/>
    <w:rPr>
      <w:rFonts w:ascii="Times New Roman" w:hAnsi="Times New Roman"/>
      <w:sz w:val="20"/>
      <w:lang w:val="es-ES_tradnl"/>
    </w:rPr>
  </w:style>
  <w:style w:type="character" w:styleId="Hyperlink">
    <w:name w:val="Hyperlink"/>
    <w:basedOn w:val="DefaultParagraphFont"/>
    <w:uiPriority w:val="99"/>
    <w:unhideWhenUsed/>
    <w:rsid w:val="0040593C"/>
    <w:rPr>
      <w:color w:val="0000FF" w:themeColor="hyperlink"/>
      <w:u w:val="single"/>
    </w:rPr>
  </w:style>
  <w:style w:type="character" w:customStyle="1" w:styleId="Heading1Char">
    <w:name w:val="Heading 1 Char"/>
    <w:basedOn w:val="DefaultParagraphFont"/>
    <w:link w:val="Heading1"/>
    <w:uiPriority w:val="9"/>
    <w:rsid w:val="009B35A9"/>
    <w:rPr>
      <w:rFonts w:ascii="Times New Roman Bold" w:eastAsiaTheme="majorEastAsia" w:hAnsi="Times New Roman Bold" w:cstheme="majorBidi"/>
      <w:b/>
      <w:bCs/>
      <w:smallCaps/>
      <w:sz w:val="24"/>
      <w:szCs w:val="28"/>
    </w:rPr>
  </w:style>
  <w:style w:type="paragraph" w:styleId="FootnoteText">
    <w:name w:val="footnote text"/>
    <w:basedOn w:val="Normal"/>
    <w:link w:val="FootnoteTextChar"/>
    <w:uiPriority w:val="99"/>
    <w:semiHidden/>
    <w:unhideWhenUsed/>
    <w:rsid w:val="00C2084F"/>
    <w:rPr>
      <w:szCs w:val="20"/>
    </w:rPr>
  </w:style>
  <w:style w:type="character" w:customStyle="1" w:styleId="FootnoteTextChar">
    <w:name w:val="Footnote Text Char"/>
    <w:basedOn w:val="DefaultParagraphFont"/>
    <w:link w:val="FootnoteText"/>
    <w:uiPriority w:val="99"/>
    <w:semiHidden/>
    <w:rsid w:val="00C2084F"/>
    <w:rPr>
      <w:rFonts w:ascii="Times New Roman" w:hAnsi="Times New Roman"/>
      <w:sz w:val="20"/>
      <w:szCs w:val="20"/>
    </w:rPr>
  </w:style>
  <w:style w:type="character" w:styleId="FootnoteReference">
    <w:name w:val="footnote reference"/>
    <w:basedOn w:val="DefaultParagraphFont"/>
    <w:uiPriority w:val="99"/>
    <w:semiHidden/>
    <w:unhideWhenUsed/>
    <w:rsid w:val="00C2084F"/>
    <w:rPr>
      <w:vertAlign w:val="superscript"/>
    </w:rPr>
  </w:style>
  <w:style w:type="character" w:customStyle="1" w:styleId="UnresolvedMention">
    <w:name w:val="Unresolved Mention"/>
    <w:basedOn w:val="DefaultParagraphFont"/>
    <w:uiPriority w:val="99"/>
    <w:semiHidden/>
    <w:unhideWhenUsed/>
    <w:rsid w:val="00E16E8E"/>
    <w:rPr>
      <w:color w:val="808080"/>
      <w:shd w:val="clear" w:color="auto" w:fill="E6E6E6"/>
    </w:rPr>
  </w:style>
  <w:style w:type="paragraph" w:styleId="NormalWeb">
    <w:name w:val="Normal (Web)"/>
    <w:basedOn w:val="Normal"/>
    <w:uiPriority w:val="99"/>
    <w:unhideWhenUsed/>
    <w:rsid w:val="004C2C80"/>
    <w:pPr>
      <w:spacing w:before="100" w:beforeAutospacing="1" w:after="100" w:afterAutospacing="1"/>
      <w:jc w:val="left"/>
    </w:pPr>
    <w:rPr>
      <w:rFonts w:eastAsia="Times New Roman" w:cs="Times New Roman"/>
      <w:sz w:val="24"/>
      <w:szCs w:val="24"/>
      <w:lang w:val="es-CO" w:eastAsia="es-CO"/>
    </w:rPr>
  </w:style>
  <w:style w:type="paragraph" w:styleId="Bibliography">
    <w:name w:val="Bibliography"/>
    <w:basedOn w:val="Normal"/>
    <w:next w:val="Normal"/>
    <w:uiPriority w:val="37"/>
    <w:unhideWhenUsed/>
    <w:rsid w:val="00E3168D"/>
    <w:pPr>
      <w:spacing w:after="160" w:line="259" w:lineRule="auto"/>
      <w:jc w:val="left"/>
    </w:pPr>
    <w:rPr>
      <w:rFonts w:asciiTheme="minorHAnsi" w:eastAsiaTheme="minorHAnsi" w:hAnsiTheme="minorHAnsi"/>
      <w:sz w:val="22"/>
      <w:lang w:val="es-CO"/>
    </w:rPr>
  </w:style>
  <w:style w:type="character" w:customStyle="1" w:styleId="apple-tab-span">
    <w:name w:val="apple-tab-span"/>
    <w:basedOn w:val="DefaultParagraphFont"/>
    <w:rsid w:val="00745864"/>
  </w:style>
  <w:style w:type="character" w:styleId="FollowedHyperlink">
    <w:name w:val="FollowedHyperlink"/>
    <w:basedOn w:val="DefaultParagraphFont"/>
    <w:uiPriority w:val="99"/>
    <w:semiHidden/>
    <w:unhideWhenUsed/>
    <w:rsid w:val="002120E6"/>
    <w:rPr>
      <w:color w:val="954F72"/>
      <w:u w:val="single"/>
    </w:rPr>
  </w:style>
  <w:style w:type="paragraph" w:customStyle="1" w:styleId="xl65">
    <w:name w:val="xl65"/>
    <w:basedOn w:val="Normal"/>
    <w:rsid w:val="002120E6"/>
    <w:pPr>
      <w:spacing w:before="100" w:beforeAutospacing="1" w:after="100" w:afterAutospacing="1"/>
      <w:jc w:val="left"/>
    </w:pPr>
    <w:rPr>
      <w:rFonts w:eastAsia="Times New Roman" w:cs="Times New Roman"/>
      <w:sz w:val="24"/>
      <w:szCs w:val="24"/>
      <w:lang w:val="es-CO" w:eastAsia="es-CO"/>
    </w:rPr>
  </w:style>
  <w:style w:type="paragraph" w:customStyle="1" w:styleId="xl66">
    <w:name w:val="xl66"/>
    <w:basedOn w:val="Normal"/>
    <w:rsid w:val="002120E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4"/>
      <w:szCs w:val="24"/>
      <w:lang w:val="es-CO" w:eastAsia="es-CO"/>
    </w:rPr>
  </w:style>
  <w:style w:type="paragraph" w:customStyle="1" w:styleId="xl67">
    <w:name w:val="xl67"/>
    <w:basedOn w:val="Normal"/>
    <w:rsid w:val="002120E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2"/>
      <w:lang w:val="es-CO" w:eastAsia="es-CO"/>
    </w:rPr>
  </w:style>
  <w:style w:type="paragraph" w:customStyle="1" w:styleId="xl68">
    <w:name w:val="xl68"/>
    <w:basedOn w:val="Normal"/>
    <w:rsid w:val="002120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s="Times New Roman"/>
      <w:sz w:val="22"/>
      <w:lang w:val="es-CO" w:eastAsia="es-CO"/>
    </w:rPr>
  </w:style>
  <w:style w:type="paragraph" w:customStyle="1" w:styleId="xl69">
    <w:name w:val="xl69"/>
    <w:basedOn w:val="Normal"/>
    <w:rsid w:val="002120E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2"/>
      <w:lang w:val="es-CO" w:eastAsia="es-CO"/>
    </w:rPr>
  </w:style>
  <w:style w:type="paragraph" w:customStyle="1" w:styleId="xl70">
    <w:name w:val="xl70"/>
    <w:basedOn w:val="Normal"/>
    <w:rsid w:val="002120E6"/>
    <w:pPr>
      <w:pBdr>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4"/>
      <w:szCs w:val="24"/>
      <w:lang w:val="es-CO" w:eastAsia="es-CO"/>
    </w:rPr>
  </w:style>
  <w:style w:type="paragraph" w:customStyle="1" w:styleId="xl71">
    <w:name w:val="xl71"/>
    <w:basedOn w:val="Normal"/>
    <w:rsid w:val="002120E6"/>
    <w:pPr>
      <w:pBdr>
        <w:top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4"/>
      <w:szCs w:val="24"/>
      <w:lang w:val="es-CO" w:eastAsia="es-CO"/>
    </w:rPr>
  </w:style>
  <w:style w:type="paragraph" w:customStyle="1" w:styleId="xl72">
    <w:name w:val="xl72"/>
    <w:basedOn w:val="Normal"/>
    <w:rsid w:val="002120E6"/>
    <w:pPr>
      <w:pBdr>
        <w:left w:val="single" w:sz="4" w:space="0" w:color="000000"/>
        <w:right w:val="single" w:sz="4" w:space="0" w:color="000000"/>
      </w:pBdr>
      <w:spacing w:before="100" w:beforeAutospacing="1" w:after="100" w:afterAutospacing="1"/>
      <w:jc w:val="left"/>
    </w:pPr>
    <w:rPr>
      <w:rFonts w:eastAsia="Times New Roman" w:cs="Times New Roman"/>
      <w:sz w:val="24"/>
      <w:szCs w:val="24"/>
      <w:lang w:val="es-CO" w:eastAsia="es-CO"/>
    </w:rPr>
  </w:style>
  <w:style w:type="paragraph" w:customStyle="1" w:styleId="xl73">
    <w:name w:val="xl73"/>
    <w:basedOn w:val="Normal"/>
    <w:rsid w:val="002120E6"/>
    <w:pPr>
      <w:pBdr>
        <w:top w:val="single" w:sz="4" w:space="0" w:color="000000"/>
        <w:left w:val="single" w:sz="4" w:space="0" w:color="000000"/>
        <w:right w:val="single" w:sz="4" w:space="0" w:color="000000"/>
      </w:pBdr>
      <w:spacing w:before="100" w:beforeAutospacing="1" w:after="100" w:afterAutospacing="1"/>
      <w:jc w:val="left"/>
    </w:pPr>
    <w:rPr>
      <w:rFonts w:eastAsia="Times New Roman" w:cs="Times New Roman"/>
      <w:sz w:val="22"/>
      <w:lang w:val="es-CO" w:eastAsia="es-CO"/>
    </w:rPr>
  </w:style>
  <w:style w:type="paragraph" w:customStyle="1" w:styleId="xl74">
    <w:name w:val="xl74"/>
    <w:basedOn w:val="Normal"/>
    <w:rsid w:val="002120E6"/>
    <w:pPr>
      <w:pBdr>
        <w:top w:val="single" w:sz="4" w:space="0" w:color="000000"/>
        <w:left w:val="single" w:sz="4" w:space="0" w:color="000000"/>
        <w:bottom w:val="single" w:sz="4" w:space="0" w:color="000000"/>
      </w:pBdr>
      <w:spacing w:before="100" w:beforeAutospacing="1" w:after="100" w:afterAutospacing="1"/>
      <w:jc w:val="left"/>
    </w:pPr>
    <w:rPr>
      <w:rFonts w:eastAsia="Times New Roman" w:cs="Times New Roman"/>
      <w:sz w:val="22"/>
      <w:lang w:val="es-CO" w:eastAsia="es-CO"/>
    </w:rPr>
  </w:style>
  <w:style w:type="paragraph" w:customStyle="1" w:styleId="xl75">
    <w:name w:val="xl75"/>
    <w:basedOn w:val="Normal"/>
    <w:rsid w:val="002120E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cs="Times New Roman"/>
      <w:sz w:val="22"/>
      <w:lang w:val="es-CO" w:eastAsia="es-CO"/>
    </w:rPr>
  </w:style>
  <w:style w:type="paragraph" w:customStyle="1" w:styleId="xl76">
    <w:name w:val="xl76"/>
    <w:basedOn w:val="Normal"/>
    <w:rsid w:val="002120E6"/>
    <w:pPr>
      <w:pBdr>
        <w:left w:val="single" w:sz="4" w:space="0" w:color="000000"/>
        <w:right w:val="single" w:sz="4" w:space="0" w:color="000000"/>
      </w:pBdr>
      <w:spacing w:before="100" w:beforeAutospacing="1" w:after="100" w:afterAutospacing="1"/>
      <w:jc w:val="left"/>
    </w:pPr>
    <w:rPr>
      <w:rFonts w:eastAsia="Times New Roman" w:cs="Times New Roman"/>
      <w:sz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7504">
      <w:bodyDiv w:val="1"/>
      <w:marLeft w:val="0"/>
      <w:marRight w:val="0"/>
      <w:marTop w:val="0"/>
      <w:marBottom w:val="0"/>
      <w:divBdr>
        <w:top w:val="none" w:sz="0" w:space="0" w:color="auto"/>
        <w:left w:val="none" w:sz="0" w:space="0" w:color="auto"/>
        <w:bottom w:val="none" w:sz="0" w:space="0" w:color="auto"/>
        <w:right w:val="none" w:sz="0" w:space="0" w:color="auto"/>
      </w:divBdr>
    </w:div>
    <w:div w:id="105388132">
      <w:bodyDiv w:val="1"/>
      <w:marLeft w:val="0"/>
      <w:marRight w:val="0"/>
      <w:marTop w:val="0"/>
      <w:marBottom w:val="0"/>
      <w:divBdr>
        <w:top w:val="none" w:sz="0" w:space="0" w:color="auto"/>
        <w:left w:val="none" w:sz="0" w:space="0" w:color="auto"/>
        <w:bottom w:val="none" w:sz="0" w:space="0" w:color="auto"/>
        <w:right w:val="none" w:sz="0" w:space="0" w:color="auto"/>
      </w:divBdr>
      <w:divsChild>
        <w:div w:id="1509322593">
          <w:marLeft w:val="-115"/>
          <w:marRight w:val="0"/>
          <w:marTop w:val="0"/>
          <w:marBottom w:val="0"/>
          <w:divBdr>
            <w:top w:val="none" w:sz="0" w:space="0" w:color="auto"/>
            <w:left w:val="none" w:sz="0" w:space="0" w:color="auto"/>
            <w:bottom w:val="none" w:sz="0" w:space="0" w:color="auto"/>
            <w:right w:val="none" w:sz="0" w:space="0" w:color="auto"/>
          </w:divBdr>
        </w:div>
      </w:divsChild>
    </w:div>
    <w:div w:id="190993647">
      <w:bodyDiv w:val="1"/>
      <w:marLeft w:val="0"/>
      <w:marRight w:val="0"/>
      <w:marTop w:val="0"/>
      <w:marBottom w:val="0"/>
      <w:divBdr>
        <w:top w:val="none" w:sz="0" w:space="0" w:color="auto"/>
        <w:left w:val="none" w:sz="0" w:space="0" w:color="auto"/>
        <w:bottom w:val="none" w:sz="0" w:space="0" w:color="auto"/>
        <w:right w:val="none" w:sz="0" w:space="0" w:color="auto"/>
      </w:divBdr>
    </w:div>
    <w:div w:id="250627084">
      <w:bodyDiv w:val="1"/>
      <w:marLeft w:val="0"/>
      <w:marRight w:val="0"/>
      <w:marTop w:val="0"/>
      <w:marBottom w:val="0"/>
      <w:divBdr>
        <w:top w:val="none" w:sz="0" w:space="0" w:color="auto"/>
        <w:left w:val="none" w:sz="0" w:space="0" w:color="auto"/>
        <w:bottom w:val="none" w:sz="0" w:space="0" w:color="auto"/>
        <w:right w:val="none" w:sz="0" w:space="0" w:color="auto"/>
      </w:divBdr>
    </w:div>
    <w:div w:id="341472168">
      <w:bodyDiv w:val="1"/>
      <w:marLeft w:val="0"/>
      <w:marRight w:val="0"/>
      <w:marTop w:val="0"/>
      <w:marBottom w:val="0"/>
      <w:divBdr>
        <w:top w:val="none" w:sz="0" w:space="0" w:color="auto"/>
        <w:left w:val="none" w:sz="0" w:space="0" w:color="auto"/>
        <w:bottom w:val="none" w:sz="0" w:space="0" w:color="auto"/>
        <w:right w:val="none" w:sz="0" w:space="0" w:color="auto"/>
      </w:divBdr>
      <w:divsChild>
        <w:div w:id="910625209">
          <w:marLeft w:val="-150"/>
          <w:marRight w:val="0"/>
          <w:marTop w:val="0"/>
          <w:marBottom w:val="0"/>
          <w:divBdr>
            <w:top w:val="none" w:sz="0" w:space="0" w:color="auto"/>
            <w:left w:val="none" w:sz="0" w:space="0" w:color="auto"/>
            <w:bottom w:val="none" w:sz="0" w:space="0" w:color="auto"/>
            <w:right w:val="none" w:sz="0" w:space="0" w:color="auto"/>
          </w:divBdr>
        </w:div>
      </w:divsChild>
    </w:div>
    <w:div w:id="357969785">
      <w:bodyDiv w:val="1"/>
      <w:marLeft w:val="0"/>
      <w:marRight w:val="0"/>
      <w:marTop w:val="0"/>
      <w:marBottom w:val="0"/>
      <w:divBdr>
        <w:top w:val="none" w:sz="0" w:space="0" w:color="auto"/>
        <w:left w:val="none" w:sz="0" w:space="0" w:color="auto"/>
        <w:bottom w:val="none" w:sz="0" w:space="0" w:color="auto"/>
        <w:right w:val="none" w:sz="0" w:space="0" w:color="auto"/>
      </w:divBdr>
    </w:div>
    <w:div w:id="495731312">
      <w:bodyDiv w:val="1"/>
      <w:marLeft w:val="0"/>
      <w:marRight w:val="0"/>
      <w:marTop w:val="0"/>
      <w:marBottom w:val="0"/>
      <w:divBdr>
        <w:top w:val="none" w:sz="0" w:space="0" w:color="auto"/>
        <w:left w:val="none" w:sz="0" w:space="0" w:color="auto"/>
        <w:bottom w:val="none" w:sz="0" w:space="0" w:color="auto"/>
        <w:right w:val="none" w:sz="0" w:space="0" w:color="auto"/>
      </w:divBdr>
      <w:divsChild>
        <w:div w:id="1494297020">
          <w:marLeft w:val="0"/>
          <w:marRight w:val="0"/>
          <w:marTop w:val="0"/>
          <w:marBottom w:val="0"/>
          <w:divBdr>
            <w:top w:val="none" w:sz="0" w:space="0" w:color="auto"/>
            <w:left w:val="none" w:sz="0" w:space="0" w:color="auto"/>
            <w:bottom w:val="none" w:sz="0" w:space="0" w:color="auto"/>
            <w:right w:val="none" w:sz="0" w:space="0" w:color="auto"/>
          </w:divBdr>
        </w:div>
        <w:div w:id="729037612">
          <w:marLeft w:val="0"/>
          <w:marRight w:val="0"/>
          <w:marTop w:val="0"/>
          <w:marBottom w:val="0"/>
          <w:divBdr>
            <w:top w:val="none" w:sz="0" w:space="0" w:color="auto"/>
            <w:left w:val="none" w:sz="0" w:space="0" w:color="auto"/>
            <w:bottom w:val="none" w:sz="0" w:space="0" w:color="auto"/>
            <w:right w:val="none" w:sz="0" w:space="0" w:color="auto"/>
          </w:divBdr>
        </w:div>
      </w:divsChild>
    </w:div>
    <w:div w:id="515729103">
      <w:bodyDiv w:val="1"/>
      <w:marLeft w:val="0"/>
      <w:marRight w:val="0"/>
      <w:marTop w:val="0"/>
      <w:marBottom w:val="0"/>
      <w:divBdr>
        <w:top w:val="none" w:sz="0" w:space="0" w:color="auto"/>
        <w:left w:val="none" w:sz="0" w:space="0" w:color="auto"/>
        <w:bottom w:val="none" w:sz="0" w:space="0" w:color="auto"/>
        <w:right w:val="none" w:sz="0" w:space="0" w:color="auto"/>
      </w:divBdr>
    </w:div>
    <w:div w:id="538902941">
      <w:bodyDiv w:val="1"/>
      <w:marLeft w:val="0"/>
      <w:marRight w:val="0"/>
      <w:marTop w:val="0"/>
      <w:marBottom w:val="0"/>
      <w:divBdr>
        <w:top w:val="none" w:sz="0" w:space="0" w:color="auto"/>
        <w:left w:val="none" w:sz="0" w:space="0" w:color="auto"/>
        <w:bottom w:val="none" w:sz="0" w:space="0" w:color="auto"/>
        <w:right w:val="none" w:sz="0" w:space="0" w:color="auto"/>
      </w:divBdr>
    </w:div>
    <w:div w:id="590699546">
      <w:bodyDiv w:val="1"/>
      <w:marLeft w:val="0"/>
      <w:marRight w:val="0"/>
      <w:marTop w:val="0"/>
      <w:marBottom w:val="0"/>
      <w:divBdr>
        <w:top w:val="none" w:sz="0" w:space="0" w:color="auto"/>
        <w:left w:val="none" w:sz="0" w:space="0" w:color="auto"/>
        <w:bottom w:val="none" w:sz="0" w:space="0" w:color="auto"/>
        <w:right w:val="none" w:sz="0" w:space="0" w:color="auto"/>
      </w:divBdr>
    </w:div>
    <w:div w:id="598877505">
      <w:bodyDiv w:val="1"/>
      <w:marLeft w:val="0"/>
      <w:marRight w:val="0"/>
      <w:marTop w:val="0"/>
      <w:marBottom w:val="0"/>
      <w:divBdr>
        <w:top w:val="none" w:sz="0" w:space="0" w:color="auto"/>
        <w:left w:val="none" w:sz="0" w:space="0" w:color="auto"/>
        <w:bottom w:val="none" w:sz="0" w:space="0" w:color="auto"/>
        <w:right w:val="none" w:sz="0" w:space="0" w:color="auto"/>
      </w:divBdr>
    </w:div>
    <w:div w:id="682165262">
      <w:bodyDiv w:val="1"/>
      <w:marLeft w:val="0"/>
      <w:marRight w:val="0"/>
      <w:marTop w:val="0"/>
      <w:marBottom w:val="0"/>
      <w:divBdr>
        <w:top w:val="none" w:sz="0" w:space="0" w:color="auto"/>
        <w:left w:val="none" w:sz="0" w:space="0" w:color="auto"/>
        <w:bottom w:val="none" w:sz="0" w:space="0" w:color="auto"/>
        <w:right w:val="none" w:sz="0" w:space="0" w:color="auto"/>
      </w:divBdr>
      <w:divsChild>
        <w:div w:id="1553928535">
          <w:marLeft w:val="0"/>
          <w:marRight w:val="0"/>
          <w:marTop w:val="0"/>
          <w:marBottom w:val="0"/>
          <w:divBdr>
            <w:top w:val="none" w:sz="0" w:space="0" w:color="auto"/>
            <w:left w:val="none" w:sz="0" w:space="0" w:color="auto"/>
            <w:bottom w:val="none" w:sz="0" w:space="0" w:color="auto"/>
            <w:right w:val="none" w:sz="0" w:space="0" w:color="auto"/>
          </w:divBdr>
        </w:div>
        <w:div w:id="1077021999">
          <w:marLeft w:val="0"/>
          <w:marRight w:val="0"/>
          <w:marTop w:val="0"/>
          <w:marBottom w:val="0"/>
          <w:divBdr>
            <w:top w:val="none" w:sz="0" w:space="0" w:color="auto"/>
            <w:left w:val="none" w:sz="0" w:space="0" w:color="auto"/>
            <w:bottom w:val="none" w:sz="0" w:space="0" w:color="auto"/>
            <w:right w:val="none" w:sz="0" w:space="0" w:color="auto"/>
          </w:divBdr>
        </w:div>
      </w:divsChild>
    </w:div>
    <w:div w:id="702830309">
      <w:bodyDiv w:val="1"/>
      <w:marLeft w:val="0"/>
      <w:marRight w:val="0"/>
      <w:marTop w:val="0"/>
      <w:marBottom w:val="0"/>
      <w:divBdr>
        <w:top w:val="none" w:sz="0" w:space="0" w:color="auto"/>
        <w:left w:val="none" w:sz="0" w:space="0" w:color="auto"/>
        <w:bottom w:val="none" w:sz="0" w:space="0" w:color="auto"/>
        <w:right w:val="none" w:sz="0" w:space="0" w:color="auto"/>
      </w:divBdr>
      <w:divsChild>
        <w:div w:id="105082318">
          <w:marLeft w:val="0"/>
          <w:marRight w:val="0"/>
          <w:marTop w:val="0"/>
          <w:marBottom w:val="0"/>
          <w:divBdr>
            <w:top w:val="none" w:sz="0" w:space="0" w:color="auto"/>
            <w:left w:val="none" w:sz="0" w:space="0" w:color="auto"/>
            <w:bottom w:val="none" w:sz="0" w:space="0" w:color="auto"/>
            <w:right w:val="none" w:sz="0" w:space="0" w:color="auto"/>
          </w:divBdr>
        </w:div>
      </w:divsChild>
    </w:div>
    <w:div w:id="724446163">
      <w:bodyDiv w:val="1"/>
      <w:marLeft w:val="0"/>
      <w:marRight w:val="0"/>
      <w:marTop w:val="0"/>
      <w:marBottom w:val="0"/>
      <w:divBdr>
        <w:top w:val="none" w:sz="0" w:space="0" w:color="auto"/>
        <w:left w:val="none" w:sz="0" w:space="0" w:color="auto"/>
        <w:bottom w:val="none" w:sz="0" w:space="0" w:color="auto"/>
        <w:right w:val="none" w:sz="0" w:space="0" w:color="auto"/>
      </w:divBdr>
      <w:divsChild>
        <w:div w:id="1561788520">
          <w:marLeft w:val="0"/>
          <w:marRight w:val="0"/>
          <w:marTop w:val="0"/>
          <w:marBottom w:val="0"/>
          <w:divBdr>
            <w:top w:val="none" w:sz="0" w:space="0" w:color="auto"/>
            <w:left w:val="none" w:sz="0" w:space="0" w:color="auto"/>
            <w:bottom w:val="none" w:sz="0" w:space="0" w:color="auto"/>
            <w:right w:val="none" w:sz="0" w:space="0" w:color="auto"/>
          </w:divBdr>
        </w:div>
      </w:divsChild>
    </w:div>
    <w:div w:id="796066522">
      <w:bodyDiv w:val="1"/>
      <w:marLeft w:val="0"/>
      <w:marRight w:val="0"/>
      <w:marTop w:val="0"/>
      <w:marBottom w:val="0"/>
      <w:divBdr>
        <w:top w:val="none" w:sz="0" w:space="0" w:color="auto"/>
        <w:left w:val="none" w:sz="0" w:space="0" w:color="auto"/>
        <w:bottom w:val="none" w:sz="0" w:space="0" w:color="auto"/>
        <w:right w:val="none" w:sz="0" w:space="0" w:color="auto"/>
      </w:divBdr>
    </w:div>
    <w:div w:id="872882965">
      <w:bodyDiv w:val="1"/>
      <w:marLeft w:val="0"/>
      <w:marRight w:val="0"/>
      <w:marTop w:val="0"/>
      <w:marBottom w:val="0"/>
      <w:divBdr>
        <w:top w:val="none" w:sz="0" w:space="0" w:color="auto"/>
        <w:left w:val="none" w:sz="0" w:space="0" w:color="auto"/>
        <w:bottom w:val="none" w:sz="0" w:space="0" w:color="auto"/>
        <w:right w:val="none" w:sz="0" w:space="0" w:color="auto"/>
      </w:divBdr>
    </w:div>
    <w:div w:id="946623526">
      <w:bodyDiv w:val="1"/>
      <w:marLeft w:val="0"/>
      <w:marRight w:val="0"/>
      <w:marTop w:val="0"/>
      <w:marBottom w:val="0"/>
      <w:divBdr>
        <w:top w:val="none" w:sz="0" w:space="0" w:color="auto"/>
        <w:left w:val="none" w:sz="0" w:space="0" w:color="auto"/>
        <w:bottom w:val="none" w:sz="0" w:space="0" w:color="auto"/>
        <w:right w:val="none" w:sz="0" w:space="0" w:color="auto"/>
      </w:divBdr>
    </w:div>
    <w:div w:id="1034884255">
      <w:bodyDiv w:val="1"/>
      <w:marLeft w:val="0"/>
      <w:marRight w:val="0"/>
      <w:marTop w:val="0"/>
      <w:marBottom w:val="0"/>
      <w:divBdr>
        <w:top w:val="none" w:sz="0" w:space="0" w:color="auto"/>
        <w:left w:val="none" w:sz="0" w:space="0" w:color="auto"/>
        <w:bottom w:val="none" w:sz="0" w:space="0" w:color="auto"/>
        <w:right w:val="none" w:sz="0" w:space="0" w:color="auto"/>
      </w:divBdr>
    </w:div>
    <w:div w:id="1052773440">
      <w:bodyDiv w:val="1"/>
      <w:marLeft w:val="0"/>
      <w:marRight w:val="0"/>
      <w:marTop w:val="0"/>
      <w:marBottom w:val="0"/>
      <w:divBdr>
        <w:top w:val="none" w:sz="0" w:space="0" w:color="auto"/>
        <w:left w:val="none" w:sz="0" w:space="0" w:color="auto"/>
        <w:bottom w:val="none" w:sz="0" w:space="0" w:color="auto"/>
        <w:right w:val="none" w:sz="0" w:space="0" w:color="auto"/>
      </w:divBdr>
      <w:divsChild>
        <w:div w:id="423187761">
          <w:marLeft w:val="0"/>
          <w:marRight w:val="0"/>
          <w:marTop w:val="0"/>
          <w:marBottom w:val="0"/>
          <w:divBdr>
            <w:top w:val="none" w:sz="0" w:space="0" w:color="auto"/>
            <w:left w:val="none" w:sz="0" w:space="0" w:color="auto"/>
            <w:bottom w:val="none" w:sz="0" w:space="0" w:color="auto"/>
            <w:right w:val="none" w:sz="0" w:space="0" w:color="auto"/>
          </w:divBdr>
        </w:div>
        <w:div w:id="1500736538">
          <w:marLeft w:val="0"/>
          <w:marRight w:val="0"/>
          <w:marTop w:val="0"/>
          <w:marBottom w:val="0"/>
          <w:divBdr>
            <w:top w:val="none" w:sz="0" w:space="0" w:color="auto"/>
            <w:left w:val="none" w:sz="0" w:space="0" w:color="auto"/>
            <w:bottom w:val="none" w:sz="0" w:space="0" w:color="auto"/>
            <w:right w:val="none" w:sz="0" w:space="0" w:color="auto"/>
          </w:divBdr>
        </w:div>
        <w:div w:id="1413814351">
          <w:marLeft w:val="0"/>
          <w:marRight w:val="0"/>
          <w:marTop w:val="0"/>
          <w:marBottom w:val="0"/>
          <w:divBdr>
            <w:top w:val="none" w:sz="0" w:space="0" w:color="auto"/>
            <w:left w:val="none" w:sz="0" w:space="0" w:color="auto"/>
            <w:bottom w:val="none" w:sz="0" w:space="0" w:color="auto"/>
            <w:right w:val="none" w:sz="0" w:space="0" w:color="auto"/>
          </w:divBdr>
        </w:div>
        <w:div w:id="486365501">
          <w:marLeft w:val="0"/>
          <w:marRight w:val="0"/>
          <w:marTop w:val="0"/>
          <w:marBottom w:val="0"/>
          <w:divBdr>
            <w:top w:val="none" w:sz="0" w:space="0" w:color="auto"/>
            <w:left w:val="none" w:sz="0" w:space="0" w:color="auto"/>
            <w:bottom w:val="none" w:sz="0" w:space="0" w:color="auto"/>
            <w:right w:val="none" w:sz="0" w:space="0" w:color="auto"/>
          </w:divBdr>
        </w:div>
        <w:div w:id="179781304">
          <w:marLeft w:val="0"/>
          <w:marRight w:val="0"/>
          <w:marTop w:val="0"/>
          <w:marBottom w:val="0"/>
          <w:divBdr>
            <w:top w:val="none" w:sz="0" w:space="0" w:color="auto"/>
            <w:left w:val="none" w:sz="0" w:space="0" w:color="auto"/>
            <w:bottom w:val="none" w:sz="0" w:space="0" w:color="auto"/>
            <w:right w:val="none" w:sz="0" w:space="0" w:color="auto"/>
          </w:divBdr>
        </w:div>
        <w:div w:id="1146821451">
          <w:marLeft w:val="0"/>
          <w:marRight w:val="0"/>
          <w:marTop w:val="0"/>
          <w:marBottom w:val="0"/>
          <w:divBdr>
            <w:top w:val="none" w:sz="0" w:space="0" w:color="auto"/>
            <w:left w:val="none" w:sz="0" w:space="0" w:color="auto"/>
            <w:bottom w:val="none" w:sz="0" w:space="0" w:color="auto"/>
            <w:right w:val="none" w:sz="0" w:space="0" w:color="auto"/>
          </w:divBdr>
        </w:div>
        <w:div w:id="685449147">
          <w:marLeft w:val="0"/>
          <w:marRight w:val="0"/>
          <w:marTop w:val="0"/>
          <w:marBottom w:val="0"/>
          <w:divBdr>
            <w:top w:val="none" w:sz="0" w:space="0" w:color="auto"/>
            <w:left w:val="none" w:sz="0" w:space="0" w:color="auto"/>
            <w:bottom w:val="none" w:sz="0" w:space="0" w:color="auto"/>
            <w:right w:val="none" w:sz="0" w:space="0" w:color="auto"/>
          </w:divBdr>
        </w:div>
        <w:div w:id="1275671531">
          <w:marLeft w:val="0"/>
          <w:marRight w:val="0"/>
          <w:marTop w:val="0"/>
          <w:marBottom w:val="0"/>
          <w:divBdr>
            <w:top w:val="none" w:sz="0" w:space="0" w:color="auto"/>
            <w:left w:val="none" w:sz="0" w:space="0" w:color="auto"/>
            <w:bottom w:val="none" w:sz="0" w:space="0" w:color="auto"/>
            <w:right w:val="none" w:sz="0" w:space="0" w:color="auto"/>
          </w:divBdr>
        </w:div>
        <w:div w:id="1637642810">
          <w:marLeft w:val="0"/>
          <w:marRight w:val="0"/>
          <w:marTop w:val="0"/>
          <w:marBottom w:val="0"/>
          <w:divBdr>
            <w:top w:val="none" w:sz="0" w:space="0" w:color="auto"/>
            <w:left w:val="none" w:sz="0" w:space="0" w:color="auto"/>
            <w:bottom w:val="none" w:sz="0" w:space="0" w:color="auto"/>
            <w:right w:val="none" w:sz="0" w:space="0" w:color="auto"/>
          </w:divBdr>
        </w:div>
        <w:div w:id="1046026391">
          <w:marLeft w:val="0"/>
          <w:marRight w:val="0"/>
          <w:marTop w:val="0"/>
          <w:marBottom w:val="0"/>
          <w:divBdr>
            <w:top w:val="none" w:sz="0" w:space="0" w:color="auto"/>
            <w:left w:val="none" w:sz="0" w:space="0" w:color="auto"/>
            <w:bottom w:val="none" w:sz="0" w:space="0" w:color="auto"/>
            <w:right w:val="none" w:sz="0" w:space="0" w:color="auto"/>
          </w:divBdr>
        </w:div>
      </w:divsChild>
    </w:div>
    <w:div w:id="1230775305">
      <w:bodyDiv w:val="1"/>
      <w:marLeft w:val="0"/>
      <w:marRight w:val="0"/>
      <w:marTop w:val="0"/>
      <w:marBottom w:val="0"/>
      <w:divBdr>
        <w:top w:val="none" w:sz="0" w:space="0" w:color="auto"/>
        <w:left w:val="none" w:sz="0" w:space="0" w:color="auto"/>
        <w:bottom w:val="none" w:sz="0" w:space="0" w:color="auto"/>
        <w:right w:val="none" w:sz="0" w:space="0" w:color="auto"/>
      </w:divBdr>
      <w:divsChild>
        <w:div w:id="1897541517">
          <w:marLeft w:val="0"/>
          <w:marRight w:val="0"/>
          <w:marTop w:val="0"/>
          <w:marBottom w:val="0"/>
          <w:divBdr>
            <w:top w:val="none" w:sz="0" w:space="0" w:color="auto"/>
            <w:left w:val="none" w:sz="0" w:space="0" w:color="auto"/>
            <w:bottom w:val="none" w:sz="0" w:space="0" w:color="auto"/>
            <w:right w:val="none" w:sz="0" w:space="0" w:color="auto"/>
          </w:divBdr>
        </w:div>
      </w:divsChild>
    </w:div>
    <w:div w:id="1304388063">
      <w:bodyDiv w:val="1"/>
      <w:marLeft w:val="0"/>
      <w:marRight w:val="0"/>
      <w:marTop w:val="0"/>
      <w:marBottom w:val="0"/>
      <w:divBdr>
        <w:top w:val="none" w:sz="0" w:space="0" w:color="auto"/>
        <w:left w:val="none" w:sz="0" w:space="0" w:color="auto"/>
        <w:bottom w:val="none" w:sz="0" w:space="0" w:color="auto"/>
        <w:right w:val="none" w:sz="0" w:space="0" w:color="auto"/>
      </w:divBdr>
    </w:div>
    <w:div w:id="1305353204">
      <w:bodyDiv w:val="1"/>
      <w:marLeft w:val="0"/>
      <w:marRight w:val="0"/>
      <w:marTop w:val="0"/>
      <w:marBottom w:val="0"/>
      <w:divBdr>
        <w:top w:val="none" w:sz="0" w:space="0" w:color="auto"/>
        <w:left w:val="none" w:sz="0" w:space="0" w:color="auto"/>
        <w:bottom w:val="none" w:sz="0" w:space="0" w:color="auto"/>
        <w:right w:val="none" w:sz="0" w:space="0" w:color="auto"/>
      </w:divBdr>
    </w:div>
    <w:div w:id="1367367157">
      <w:bodyDiv w:val="1"/>
      <w:marLeft w:val="0"/>
      <w:marRight w:val="0"/>
      <w:marTop w:val="0"/>
      <w:marBottom w:val="0"/>
      <w:divBdr>
        <w:top w:val="none" w:sz="0" w:space="0" w:color="auto"/>
        <w:left w:val="none" w:sz="0" w:space="0" w:color="auto"/>
        <w:bottom w:val="none" w:sz="0" w:space="0" w:color="auto"/>
        <w:right w:val="none" w:sz="0" w:space="0" w:color="auto"/>
      </w:divBdr>
    </w:div>
    <w:div w:id="1415787421">
      <w:bodyDiv w:val="1"/>
      <w:marLeft w:val="0"/>
      <w:marRight w:val="0"/>
      <w:marTop w:val="0"/>
      <w:marBottom w:val="0"/>
      <w:divBdr>
        <w:top w:val="none" w:sz="0" w:space="0" w:color="auto"/>
        <w:left w:val="none" w:sz="0" w:space="0" w:color="auto"/>
        <w:bottom w:val="none" w:sz="0" w:space="0" w:color="auto"/>
        <w:right w:val="none" w:sz="0" w:space="0" w:color="auto"/>
      </w:divBdr>
    </w:div>
    <w:div w:id="1441337475">
      <w:bodyDiv w:val="1"/>
      <w:marLeft w:val="0"/>
      <w:marRight w:val="0"/>
      <w:marTop w:val="0"/>
      <w:marBottom w:val="0"/>
      <w:divBdr>
        <w:top w:val="none" w:sz="0" w:space="0" w:color="auto"/>
        <w:left w:val="none" w:sz="0" w:space="0" w:color="auto"/>
        <w:bottom w:val="none" w:sz="0" w:space="0" w:color="auto"/>
        <w:right w:val="none" w:sz="0" w:space="0" w:color="auto"/>
      </w:divBdr>
    </w:div>
    <w:div w:id="1470438260">
      <w:bodyDiv w:val="1"/>
      <w:marLeft w:val="0"/>
      <w:marRight w:val="0"/>
      <w:marTop w:val="0"/>
      <w:marBottom w:val="0"/>
      <w:divBdr>
        <w:top w:val="none" w:sz="0" w:space="0" w:color="auto"/>
        <w:left w:val="none" w:sz="0" w:space="0" w:color="auto"/>
        <w:bottom w:val="none" w:sz="0" w:space="0" w:color="auto"/>
        <w:right w:val="none" w:sz="0" w:space="0" w:color="auto"/>
      </w:divBdr>
    </w:div>
    <w:div w:id="1528331843">
      <w:bodyDiv w:val="1"/>
      <w:marLeft w:val="0"/>
      <w:marRight w:val="0"/>
      <w:marTop w:val="0"/>
      <w:marBottom w:val="0"/>
      <w:divBdr>
        <w:top w:val="none" w:sz="0" w:space="0" w:color="auto"/>
        <w:left w:val="none" w:sz="0" w:space="0" w:color="auto"/>
        <w:bottom w:val="none" w:sz="0" w:space="0" w:color="auto"/>
        <w:right w:val="none" w:sz="0" w:space="0" w:color="auto"/>
      </w:divBdr>
    </w:div>
    <w:div w:id="1530339807">
      <w:bodyDiv w:val="1"/>
      <w:marLeft w:val="0"/>
      <w:marRight w:val="0"/>
      <w:marTop w:val="0"/>
      <w:marBottom w:val="0"/>
      <w:divBdr>
        <w:top w:val="none" w:sz="0" w:space="0" w:color="auto"/>
        <w:left w:val="none" w:sz="0" w:space="0" w:color="auto"/>
        <w:bottom w:val="none" w:sz="0" w:space="0" w:color="auto"/>
        <w:right w:val="none" w:sz="0" w:space="0" w:color="auto"/>
      </w:divBdr>
    </w:div>
    <w:div w:id="1555122590">
      <w:bodyDiv w:val="1"/>
      <w:marLeft w:val="0"/>
      <w:marRight w:val="0"/>
      <w:marTop w:val="0"/>
      <w:marBottom w:val="0"/>
      <w:divBdr>
        <w:top w:val="none" w:sz="0" w:space="0" w:color="auto"/>
        <w:left w:val="none" w:sz="0" w:space="0" w:color="auto"/>
        <w:bottom w:val="none" w:sz="0" w:space="0" w:color="auto"/>
        <w:right w:val="none" w:sz="0" w:space="0" w:color="auto"/>
      </w:divBdr>
    </w:div>
    <w:div w:id="1560167570">
      <w:bodyDiv w:val="1"/>
      <w:marLeft w:val="0"/>
      <w:marRight w:val="0"/>
      <w:marTop w:val="0"/>
      <w:marBottom w:val="0"/>
      <w:divBdr>
        <w:top w:val="none" w:sz="0" w:space="0" w:color="auto"/>
        <w:left w:val="none" w:sz="0" w:space="0" w:color="auto"/>
        <w:bottom w:val="none" w:sz="0" w:space="0" w:color="auto"/>
        <w:right w:val="none" w:sz="0" w:space="0" w:color="auto"/>
      </w:divBdr>
      <w:divsChild>
        <w:div w:id="1104231864">
          <w:marLeft w:val="0"/>
          <w:marRight w:val="0"/>
          <w:marTop w:val="0"/>
          <w:marBottom w:val="0"/>
          <w:divBdr>
            <w:top w:val="none" w:sz="0" w:space="0" w:color="auto"/>
            <w:left w:val="none" w:sz="0" w:space="0" w:color="auto"/>
            <w:bottom w:val="none" w:sz="0" w:space="0" w:color="auto"/>
            <w:right w:val="none" w:sz="0" w:space="0" w:color="auto"/>
          </w:divBdr>
          <w:divsChild>
            <w:div w:id="1858615185">
              <w:marLeft w:val="0"/>
              <w:marRight w:val="0"/>
              <w:marTop w:val="0"/>
              <w:marBottom w:val="0"/>
              <w:divBdr>
                <w:top w:val="none" w:sz="0" w:space="0" w:color="auto"/>
                <w:left w:val="none" w:sz="0" w:space="0" w:color="auto"/>
                <w:bottom w:val="none" w:sz="0" w:space="0" w:color="auto"/>
                <w:right w:val="none" w:sz="0" w:space="0" w:color="auto"/>
              </w:divBdr>
              <w:divsChild>
                <w:div w:id="1709796132">
                  <w:marLeft w:val="0"/>
                  <w:marRight w:val="0"/>
                  <w:marTop w:val="0"/>
                  <w:marBottom w:val="0"/>
                  <w:divBdr>
                    <w:top w:val="none" w:sz="0" w:space="0" w:color="auto"/>
                    <w:left w:val="none" w:sz="0" w:space="0" w:color="auto"/>
                    <w:bottom w:val="none" w:sz="0" w:space="0" w:color="auto"/>
                    <w:right w:val="none" w:sz="0" w:space="0" w:color="auto"/>
                  </w:divBdr>
                  <w:divsChild>
                    <w:div w:id="655840778">
                      <w:marLeft w:val="0"/>
                      <w:marRight w:val="0"/>
                      <w:marTop w:val="0"/>
                      <w:marBottom w:val="0"/>
                      <w:divBdr>
                        <w:top w:val="none" w:sz="0" w:space="0" w:color="auto"/>
                        <w:left w:val="none" w:sz="0" w:space="0" w:color="auto"/>
                        <w:bottom w:val="none" w:sz="0" w:space="0" w:color="auto"/>
                        <w:right w:val="none" w:sz="0" w:space="0" w:color="auto"/>
                      </w:divBdr>
                      <w:divsChild>
                        <w:div w:id="173350038">
                          <w:marLeft w:val="0"/>
                          <w:marRight w:val="0"/>
                          <w:marTop w:val="0"/>
                          <w:marBottom w:val="0"/>
                          <w:divBdr>
                            <w:top w:val="none" w:sz="0" w:space="0" w:color="auto"/>
                            <w:left w:val="none" w:sz="0" w:space="0" w:color="auto"/>
                            <w:bottom w:val="none" w:sz="0" w:space="0" w:color="auto"/>
                            <w:right w:val="none" w:sz="0" w:space="0" w:color="auto"/>
                          </w:divBdr>
                          <w:divsChild>
                            <w:div w:id="556092188">
                              <w:marLeft w:val="0"/>
                              <w:marRight w:val="0"/>
                              <w:marTop w:val="0"/>
                              <w:marBottom w:val="0"/>
                              <w:divBdr>
                                <w:top w:val="none" w:sz="0" w:space="0" w:color="auto"/>
                                <w:left w:val="none" w:sz="0" w:space="0" w:color="auto"/>
                                <w:bottom w:val="none" w:sz="0" w:space="0" w:color="auto"/>
                                <w:right w:val="none" w:sz="0" w:space="0" w:color="auto"/>
                              </w:divBdr>
                              <w:divsChild>
                                <w:div w:id="1455520701">
                                  <w:marLeft w:val="0"/>
                                  <w:marRight w:val="0"/>
                                  <w:marTop w:val="0"/>
                                  <w:marBottom w:val="0"/>
                                  <w:divBdr>
                                    <w:top w:val="none" w:sz="0" w:space="0" w:color="auto"/>
                                    <w:left w:val="none" w:sz="0" w:space="0" w:color="auto"/>
                                    <w:bottom w:val="none" w:sz="0" w:space="0" w:color="auto"/>
                                    <w:right w:val="none" w:sz="0" w:space="0" w:color="auto"/>
                                  </w:divBdr>
                                  <w:divsChild>
                                    <w:div w:id="1685747993">
                                      <w:marLeft w:val="0"/>
                                      <w:marRight w:val="0"/>
                                      <w:marTop w:val="0"/>
                                      <w:marBottom w:val="0"/>
                                      <w:divBdr>
                                        <w:top w:val="single" w:sz="6" w:space="0" w:color="F5F5F5"/>
                                        <w:left w:val="single" w:sz="6" w:space="0" w:color="F5F5F5"/>
                                        <w:bottom w:val="single" w:sz="6" w:space="0" w:color="F5F5F5"/>
                                        <w:right w:val="single" w:sz="6" w:space="0" w:color="F5F5F5"/>
                                      </w:divBdr>
                                      <w:divsChild>
                                        <w:div w:id="1503815793">
                                          <w:marLeft w:val="0"/>
                                          <w:marRight w:val="0"/>
                                          <w:marTop w:val="0"/>
                                          <w:marBottom w:val="0"/>
                                          <w:divBdr>
                                            <w:top w:val="none" w:sz="0" w:space="0" w:color="auto"/>
                                            <w:left w:val="none" w:sz="0" w:space="0" w:color="auto"/>
                                            <w:bottom w:val="none" w:sz="0" w:space="0" w:color="auto"/>
                                            <w:right w:val="none" w:sz="0" w:space="0" w:color="auto"/>
                                          </w:divBdr>
                                          <w:divsChild>
                                            <w:div w:id="12250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4924795">
      <w:bodyDiv w:val="1"/>
      <w:marLeft w:val="0"/>
      <w:marRight w:val="0"/>
      <w:marTop w:val="0"/>
      <w:marBottom w:val="0"/>
      <w:divBdr>
        <w:top w:val="none" w:sz="0" w:space="0" w:color="auto"/>
        <w:left w:val="none" w:sz="0" w:space="0" w:color="auto"/>
        <w:bottom w:val="none" w:sz="0" w:space="0" w:color="auto"/>
        <w:right w:val="none" w:sz="0" w:space="0" w:color="auto"/>
      </w:divBdr>
    </w:div>
    <w:div w:id="1608273524">
      <w:bodyDiv w:val="1"/>
      <w:marLeft w:val="0"/>
      <w:marRight w:val="0"/>
      <w:marTop w:val="0"/>
      <w:marBottom w:val="0"/>
      <w:divBdr>
        <w:top w:val="none" w:sz="0" w:space="0" w:color="auto"/>
        <w:left w:val="none" w:sz="0" w:space="0" w:color="auto"/>
        <w:bottom w:val="none" w:sz="0" w:space="0" w:color="auto"/>
        <w:right w:val="none" w:sz="0" w:space="0" w:color="auto"/>
      </w:divBdr>
    </w:div>
    <w:div w:id="1649554259">
      <w:bodyDiv w:val="1"/>
      <w:marLeft w:val="0"/>
      <w:marRight w:val="0"/>
      <w:marTop w:val="0"/>
      <w:marBottom w:val="0"/>
      <w:divBdr>
        <w:top w:val="none" w:sz="0" w:space="0" w:color="auto"/>
        <w:left w:val="none" w:sz="0" w:space="0" w:color="auto"/>
        <w:bottom w:val="none" w:sz="0" w:space="0" w:color="auto"/>
        <w:right w:val="none" w:sz="0" w:space="0" w:color="auto"/>
      </w:divBdr>
    </w:div>
    <w:div w:id="1666323899">
      <w:bodyDiv w:val="1"/>
      <w:marLeft w:val="0"/>
      <w:marRight w:val="0"/>
      <w:marTop w:val="0"/>
      <w:marBottom w:val="0"/>
      <w:divBdr>
        <w:top w:val="none" w:sz="0" w:space="0" w:color="auto"/>
        <w:left w:val="none" w:sz="0" w:space="0" w:color="auto"/>
        <w:bottom w:val="none" w:sz="0" w:space="0" w:color="auto"/>
        <w:right w:val="none" w:sz="0" w:space="0" w:color="auto"/>
      </w:divBdr>
      <w:divsChild>
        <w:div w:id="50230663">
          <w:marLeft w:val="0"/>
          <w:marRight w:val="0"/>
          <w:marTop w:val="0"/>
          <w:marBottom w:val="0"/>
          <w:divBdr>
            <w:top w:val="none" w:sz="0" w:space="0" w:color="auto"/>
            <w:left w:val="none" w:sz="0" w:space="0" w:color="auto"/>
            <w:bottom w:val="none" w:sz="0" w:space="0" w:color="auto"/>
            <w:right w:val="none" w:sz="0" w:space="0" w:color="auto"/>
          </w:divBdr>
          <w:divsChild>
            <w:div w:id="35860597">
              <w:marLeft w:val="0"/>
              <w:marRight w:val="0"/>
              <w:marTop w:val="0"/>
              <w:marBottom w:val="0"/>
              <w:divBdr>
                <w:top w:val="none" w:sz="0" w:space="0" w:color="auto"/>
                <w:left w:val="none" w:sz="0" w:space="0" w:color="auto"/>
                <w:bottom w:val="none" w:sz="0" w:space="0" w:color="auto"/>
                <w:right w:val="none" w:sz="0" w:space="0" w:color="auto"/>
              </w:divBdr>
              <w:divsChild>
                <w:div w:id="33240882">
                  <w:marLeft w:val="0"/>
                  <w:marRight w:val="0"/>
                  <w:marTop w:val="0"/>
                  <w:marBottom w:val="0"/>
                  <w:divBdr>
                    <w:top w:val="none" w:sz="0" w:space="0" w:color="auto"/>
                    <w:left w:val="none" w:sz="0" w:space="0" w:color="auto"/>
                    <w:bottom w:val="none" w:sz="0" w:space="0" w:color="auto"/>
                    <w:right w:val="none" w:sz="0" w:space="0" w:color="auto"/>
                  </w:divBdr>
                  <w:divsChild>
                    <w:div w:id="1862938260">
                      <w:marLeft w:val="0"/>
                      <w:marRight w:val="0"/>
                      <w:marTop w:val="0"/>
                      <w:marBottom w:val="0"/>
                      <w:divBdr>
                        <w:top w:val="none" w:sz="0" w:space="0" w:color="auto"/>
                        <w:left w:val="none" w:sz="0" w:space="0" w:color="auto"/>
                        <w:bottom w:val="none" w:sz="0" w:space="0" w:color="auto"/>
                        <w:right w:val="none" w:sz="0" w:space="0" w:color="auto"/>
                      </w:divBdr>
                      <w:divsChild>
                        <w:div w:id="223373652">
                          <w:marLeft w:val="0"/>
                          <w:marRight w:val="0"/>
                          <w:marTop w:val="0"/>
                          <w:marBottom w:val="0"/>
                          <w:divBdr>
                            <w:top w:val="none" w:sz="0" w:space="0" w:color="auto"/>
                            <w:left w:val="none" w:sz="0" w:space="0" w:color="auto"/>
                            <w:bottom w:val="none" w:sz="0" w:space="0" w:color="auto"/>
                            <w:right w:val="none" w:sz="0" w:space="0" w:color="auto"/>
                          </w:divBdr>
                          <w:divsChild>
                            <w:div w:id="2139445057">
                              <w:marLeft w:val="0"/>
                              <w:marRight w:val="0"/>
                              <w:marTop w:val="0"/>
                              <w:marBottom w:val="0"/>
                              <w:divBdr>
                                <w:top w:val="none" w:sz="0" w:space="0" w:color="auto"/>
                                <w:left w:val="none" w:sz="0" w:space="0" w:color="auto"/>
                                <w:bottom w:val="none" w:sz="0" w:space="0" w:color="auto"/>
                                <w:right w:val="none" w:sz="0" w:space="0" w:color="auto"/>
                              </w:divBdr>
                              <w:divsChild>
                                <w:div w:id="2048329628">
                                  <w:marLeft w:val="0"/>
                                  <w:marRight w:val="0"/>
                                  <w:marTop w:val="0"/>
                                  <w:marBottom w:val="0"/>
                                  <w:divBdr>
                                    <w:top w:val="none" w:sz="0" w:space="0" w:color="auto"/>
                                    <w:left w:val="none" w:sz="0" w:space="0" w:color="auto"/>
                                    <w:bottom w:val="none" w:sz="0" w:space="0" w:color="auto"/>
                                    <w:right w:val="none" w:sz="0" w:space="0" w:color="auto"/>
                                  </w:divBdr>
                                  <w:divsChild>
                                    <w:div w:id="1491797356">
                                      <w:marLeft w:val="0"/>
                                      <w:marRight w:val="0"/>
                                      <w:marTop w:val="0"/>
                                      <w:marBottom w:val="0"/>
                                      <w:divBdr>
                                        <w:top w:val="single" w:sz="6" w:space="0" w:color="F5F5F5"/>
                                        <w:left w:val="single" w:sz="6" w:space="0" w:color="F5F5F5"/>
                                        <w:bottom w:val="single" w:sz="6" w:space="0" w:color="F5F5F5"/>
                                        <w:right w:val="single" w:sz="6" w:space="0" w:color="F5F5F5"/>
                                      </w:divBdr>
                                      <w:divsChild>
                                        <w:div w:id="642463900">
                                          <w:marLeft w:val="0"/>
                                          <w:marRight w:val="0"/>
                                          <w:marTop w:val="0"/>
                                          <w:marBottom w:val="0"/>
                                          <w:divBdr>
                                            <w:top w:val="none" w:sz="0" w:space="0" w:color="auto"/>
                                            <w:left w:val="none" w:sz="0" w:space="0" w:color="auto"/>
                                            <w:bottom w:val="none" w:sz="0" w:space="0" w:color="auto"/>
                                            <w:right w:val="none" w:sz="0" w:space="0" w:color="auto"/>
                                          </w:divBdr>
                                          <w:divsChild>
                                            <w:div w:id="11085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920405">
      <w:bodyDiv w:val="1"/>
      <w:marLeft w:val="0"/>
      <w:marRight w:val="0"/>
      <w:marTop w:val="0"/>
      <w:marBottom w:val="0"/>
      <w:divBdr>
        <w:top w:val="none" w:sz="0" w:space="0" w:color="auto"/>
        <w:left w:val="none" w:sz="0" w:space="0" w:color="auto"/>
        <w:bottom w:val="none" w:sz="0" w:space="0" w:color="auto"/>
        <w:right w:val="none" w:sz="0" w:space="0" w:color="auto"/>
      </w:divBdr>
    </w:div>
    <w:div w:id="1753231941">
      <w:bodyDiv w:val="1"/>
      <w:marLeft w:val="0"/>
      <w:marRight w:val="0"/>
      <w:marTop w:val="0"/>
      <w:marBottom w:val="0"/>
      <w:divBdr>
        <w:top w:val="none" w:sz="0" w:space="0" w:color="auto"/>
        <w:left w:val="none" w:sz="0" w:space="0" w:color="auto"/>
        <w:bottom w:val="none" w:sz="0" w:space="0" w:color="auto"/>
        <w:right w:val="none" w:sz="0" w:space="0" w:color="auto"/>
      </w:divBdr>
      <w:divsChild>
        <w:div w:id="1339429995">
          <w:marLeft w:val="0"/>
          <w:marRight w:val="0"/>
          <w:marTop w:val="0"/>
          <w:marBottom w:val="0"/>
          <w:divBdr>
            <w:top w:val="none" w:sz="0" w:space="0" w:color="auto"/>
            <w:left w:val="none" w:sz="0" w:space="0" w:color="auto"/>
            <w:bottom w:val="none" w:sz="0" w:space="0" w:color="auto"/>
            <w:right w:val="none" w:sz="0" w:space="0" w:color="auto"/>
          </w:divBdr>
          <w:divsChild>
            <w:div w:id="526069355">
              <w:marLeft w:val="0"/>
              <w:marRight w:val="0"/>
              <w:marTop w:val="0"/>
              <w:marBottom w:val="0"/>
              <w:divBdr>
                <w:top w:val="none" w:sz="0" w:space="0" w:color="auto"/>
                <w:left w:val="none" w:sz="0" w:space="0" w:color="auto"/>
                <w:bottom w:val="none" w:sz="0" w:space="0" w:color="auto"/>
                <w:right w:val="none" w:sz="0" w:space="0" w:color="auto"/>
              </w:divBdr>
              <w:divsChild>
                <w:div w:id="1417284453">
                  <w:marLeft w:val="0"/>
                  <w:marRight w:val="0"/>
                  <w:marTop w:val="0"/>
                  <w:marBottom w:val="0"/>
                  <w:divBdr>
                    <w:top w:val="none" w:sz="0" w:space="0" w:color="auto"/>
                    <w:left w:val="none" w:sz="0" w:space="0" w:color="auto"/>
                    <w:bottom w:val="none" w:sz="0" w:space="0" w:color="auto"/>
                    <w:right w:val="none" w:sz="0" w:space="0" w:color="auto"/>
                  </w:divBdr>
                  <w:divsChild>
                    <w:div w:id="2001880685">
                      <w:marLeft w:val="0"/>
                      <w:marRight w:val="0"/>
                      <w:marTop w:val="0"/>
                      <w:marBottom w:val="0"/>
                      <w:divBdr>
                        <w:top w:val="none" w:sz="0" w:space="0" w:color="auto"/>
                        <w:left w:val="none" w:sz="0" w:space="0" w:color="auto"/>
                        <w:bottom w:val="none" w:sz="0" w:space="0" w:color="auto"/>
                        <w:right w:val="none" w:sz="0" w:space="0" w:color="auto"/>
                      </w:divBdr>
                      <w:divsChild>
                        <w:div w:id="1186485974">
                          <w:marLeft w:val="0"/>
                          <w:marRight w:val="0"/>
                          <w:marTop w:val="0"/>
                          <w:marBottom w:val="0"/>
                          <w:divBdr>
                            <w:top w:val="none" w:sz="0" w:space="0" w:color="auto"/>
                            <w:left w:val="none" w:sz="0" w:space="0" w:color="auto"/>
                            <w:bottom w:val="none" w:sz="0" w:space="0" w:color="auto"/>
                            <w:right w:val="none" w:sz="0" w:space="0" w:color="auto"/>
                          </w:divBdr>
                          <w:divsChild>
                            <w:div w:id="1841002369">
                              <w:marLeft w:val="0"/>
                              <w:marRight w:val="0"/>
                              <w:marTop w:val="0"/>
                              <w:marBottom w:val="0"/>
                              <w:divBdr>
                                <w:top w:val="none" w:sz="0" w:space="0" w:color="auto"/>
                                <w:left w:val="none" w:sz="0" w:space="0" w:color="auto"/>
                                <w:bottom w:val="none" w:sz="0" w:space="0" w:color="auto"/>
                                <w:right w:val="none" w:sz="0" w:space="0" w:color="auto"/>
                              </w:divBdr>
                              <w:divsChild>
                                <w:div w:id="1761171668">
                                  <w:marLeft w:val="0"/>
                                  <w:marRight w:val="0"/>
                                  <w:marTop w:val="0"/>
                                  <w:marBottom w:val="0"/>
                                  <w:divBdr>
                                    <w:top w:val="none" w:sz="0" w:space="0" w:color="auto"/>
                                    <w:left w:val="none" w:sz="0" w:space="0" w:color="auto"/>
                                    <w:bottom w:val="none" w:sz="0" w:space="0" w:color="auto"/>
                                    <w:right w:val="none" w:sz="0" w:space="0" w:color="auto"/>
                                  </w:divBdr>
                                  <w:divsChild>
                                    <w:div w:id="1250237194">
                                      <w:marLeft w:val="0"/>
                                      <w:marRight w:val="0"/>
                                      <w:marTop w:val="0"/>
                                      <w:marBottom w:val="0"/>
                                      <w:divBdr>
                                        <w:top w:val="single" w:sz="6" w:space="0" w:color="F5F5F5"/>
                                        <w:left w:val="single" w:sz="6" w:space="0" w:color="F5F5F5"/>
                                        <w:bottom w:val="single" w:sz="6" w:space="0" w:color="F5F5F5"/>
                                        <w:right w:val="single" w:sz="6" w:space="0" w:color="F5F5F5"/>
                                      </w:divBdr>
                                      <w:divsChild>
                                        <w:div w:id="1520971885">
                                          <w:marLeft w:val="0"/>
                                          <w:marRight w:val="0"/>
                                          <w:marTop w:val="0"/>
                                          <w:marBottom w:val="0"/>
                                          <w:divBdr>
                                            <w:top w:val="none" w:sz="0" w:space="0" w:color="auto"/>
                                            <w:left w:val="none" w:sz="0" w:space="0" w:color="auto"/>
                                            <w:bottom w:val="none" w:sz="0" w:space="0" w:color="auto"/>
                                            <w:right w:val="none" w:sz="0" w:space="0" w:color="auto"/>
                                          </w:divBdr>
                                          <w:divsChild>
                                            <w:div w:id="1859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572811">
      <w:bodyDiv w:val="1"/>
      <w:marLeft w:val="0"/>
      <w:marRight w:val="0"/>
      <w:marTop w:val="0"/>
      <w:marBottom w:val="0"/>
      <w:divBdr>
        <w:top w:val="none" w:sz="0" w:space="0" w:color="auto"/>
        <w:left w:val="none" w:sz="0" w:space="0" w:color="auto"/>
        <w:bottom w:val="none" w:sz="0" w:space="0" w:color="auto"/>
        <w:right w:val="none" w:sz="0" w:space="0" w:color="auto"/>
      </w:divBdr>
    </w:div>
    <w:div w:id="1867330856">
      <w:bodyDiv w:val="1"/>
      <w:marLeft w:val="0"/>
      <w:marRight w:val="0"/>
      <w:marTop w:val="0"/>
      <w:marBottom w:val="0"/>
      <w:divBdr>
        <w:top w:val="none" w:sz="0" w:space="0" w:color="auto"/>
        <w:left w:val="none" w:sz="0" w:space="0" w:color="auto"/>
        <w:bottom w:val="none" w:sz="0" w:space="0" w:color="auto"/>
        <w:right w:val="none" w:sz="0" w:space="0" w:color="auto"/>
      </w:divBdr>
    </w:div>
    <w:div w:id="1948809306">
      <w:bodyDiv w:val="1"/>
      <w:marLeft w:val="0"/>
      <w:marRight w:val="0"/>
      <w:marTop w:val="0"/>
      <w:marBottom w:val="0"/>
      <w:divBdr>
        <w:top w:val="none" w:sz="0" w:space="0" w:color="auto"/>
        <w:left w:val="none" w:sz="0" w:space="0" w:color="auto"/>
        <w:bottom w:val="none" w:sz="0" w:space="0" w:color="auto"/>
        <w:right w:val="none" w:sz="0" w:space="0" w:color="auto"/>
      </w:divBdr>
    </w:div>
    <w:div w:id="1954363696">
      <w:bodyDiv w:val="1"/>
      <w:marLeft w:val="0"/>
      <w:marRight w:val="0"/>
      <w:marTop w:val="0"/>
      <w:marBottom w:val="0"/>
      <w:divBdr>
        <w:top w:val="none" w:sz="0" w:space="0" w:color="auto"/>
        <w:left w:val="none" w:sz="0" w:space="0" w:color="auto"/>
        <w:bottom w:val="none" w:sz="0" w:space="0" w:color="auto"/>
        <w:right w:val="none" w:sz="0" w:space="0" w:color="auto"/>
      </w:divBdr>
    </w:div>
    <w:div w:id="2011253360">
      <w:bodyDiv w:val="1"/>
      <w:marLeft w:val="0"/>
      <w:marRight w:val="0"/>
      <w:marTop w:val="0"/>
      <w:marBottom w:val="0"/>
      <w:divBdr>
        <w:top w:val="none" w:sz="0" w:space="0" w:color="auto"/>
        <w:left w:val="none" w:sz="0" w:space="0" w:color="auto"/>
        <w:bottom w:val="none" w:sz="0" w:space="0" w:color="auto"/>
        <w:right w:val="none" w:sz="0" w:space="0" w:color="auto"/>
      </w:divBdr>
      <w:divsChild>
        <w:div w:id="2000426948">
          <w:marLeft w:val="0"/>
          <w:marRight w:val="0"/>
          <w:marTop w:val="0"/>
          <w:marBottom w:val="0"/>
          <w:divBdr>
            <w:top w:val="none" w:sz="0" w:space="0" w:color="auto"/>
            <w:left w:val="none" w:sz="0" w:space="0" w:color="auto"/>
            <w:bottom w:val="none" w:sz="0" w:space="0" w:color="auto"/>
            <w:right w:val="none" w:sz="0" w:space="0" w:color="auto"/>
          </w:divBdr>
        </w:div>
        <w:div w:id="1134182543">
          <w:marLeft w:val="0"/>
          <w:marRight w:val="0"/>
          <w:marTop w:val="0"/>
          <w:marBottom w:val="0"/>
          <w:divBdr>
            <w:top w:val="none" w:sz="0" w:space="0" w:color="auto"/>
            <w:left w:val="none" w:sz="0" w:space="0" w:color="auto"/>
            <w:bottom w:val="none" w:sz="0" w:space="0" w:color="auto"/>
            <w:right w:val="none" w:sz="0" w:space="0" w:color="auto"/>
          </w:divBdr>
        </w:div>
      </w:divsChild>
    </w:div>
    <w:div w:id="2072923282">
      <w:bodyDiv w:val="1"/>
      <w:marLeft w:val="0"/>
      <w:marRight w:val="0"/>
      <w:marTop w:val="0"/>
      <w:marBottom w:val="0"/>
      <w:divBdr>
        <w:top w:val="none" w:sz="0" w:space="0" w:color="auto"/>
        <w:left w:val="none" w:sz="0" w:space="0" w:color="auto"/>
        <w:bottom w:val="none" w:sz="0" w:space="0" w:color="auto"/>
        <w:right w:val="none" w:sz="0" w:space="0" w:color="auto"/>
      </w:divBdr>
    </w:div>
    <w:div w:id="2078166692">
      <w:bodyDiv w:val="1"/>
      <w:marLeft w:val="0"/>
      <w:marRight w:val="0"/>
      <w:marTop w:val="0"/>
      <w:marBottom w:val="0"/>
      <w:divBdr>
        <w:top w:val="none" w:sz="0" w:space="0" w:color="auto"/>
        <w:left w:val="none" w:sz="0" w:space="0" w:color="auto"/>
        <w:bottom w:val="none" w:sz="0" w:space="0" w:color="auto"/>
        <w:right w:val="none" w:sz="0" w:space="0" w:color="auto"/>
      </w:divBdr>
    </w:div>
    <w:div w:id="21104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faostat/en/" TargetMode="Externa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IDE10</b:Tag>
    <b:SourceType>BookSection</b:SourceType>
    <b:Guid>{C4513894-B94E-4254-8989-B5D3CD1D32EA}</b:Guid>
    <b:Title>Estimación de la demanda de agua</b:Title>
    <b:Year>2010</b:Year>
    <b:City>Bogotá</b:City>
    <b:Publisher>IDEAM</b:Publisher>
    <b:Author>
      <b:BookAuthor>
        <b:NameList>
          <b:Person>
            <b:Last>IDEAM</b:Last>
          </b:Person>
        </b:NameList>
      </b:BookAuthor>
      <b:Author>
        <b:NameList>
          <b:Person>
            <b:Last>González</b:Last>
            <b:First>María</b:First>
          </b:Person>
          <b:Person>
            <b:Last>Saldarriaga</b:Last>
            <b:First>Gabriel de Jesús</b:First>
          </b:Person>
          <b:Person>
            <b:Last>Jaramillo</b:Last>
            <b:First>Omar</b:First>
          </b:Person>
        </b:NameList>
      </b:Author>
    </b:Author>
    <b:BookTitle>Estudio nacional de agua</b:BookTitle>
    <b:Pages>170-228</b:Pages>
    <b:RefOrder>1</b:RefOrder>
  </b:Source>
</b:Sources>
</file>

<file path=customXml/itemProps1.xml><?xml version="1.0" encoding="utf-8"?>
<ds:datastoreItem xmlns:ds="http://schemas.openxmlformats.org/officeDocument/2006/customXml" ds:itemID="{A2668B40-DD21-447F-8F7D-077FF380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10550</Words>
  <Characters>60138</Characters>
  <Application>Microsoft Office Word</Application>
  <DocSecurity>0</DocSecurity>
  <Lines>501</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70547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Yolanda Strachan</dc:creator>
  <cp:lastModifiedBy>Jaramillo, Carolina (CIAT)</cp:lastModifiedBy>
  <cp:revision>3</cp:revision>
  <cp:lastPrinted>2017-08-28T15:01:00Z</cp:lastPrinted>
  <dcterms:created xsi:type="dcterms:W3CDTF">2017-09-15T02:13:00Z</dcterms:created>
  <dcterms:modified xsi:type="dcterms:W3CDTF">2017-09-15T02:13:00Z</dcterms:modified>
</cp:coreProperties>
</file>